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2C7A" w14:textId="46F941CB" w:rsidR="00703206" w:rsidRDefault="00703206" w:rsidP="003B4BE4">
      <w:pPr>
        <w:contextualSpacing/>
        <w:rPr>
          <w:b/>
          <w:bCs/>
          <w:sz w:val="30"/>
          <w:szCs w:val="30"/>
          <w:lang w:val="nl-BE"/>
        </w:rPr>
      </w:pPr>
      <w:r>
        <w:rPr>
          <w:b/>
          <w:bCs/>
          <w:noProof/>
          <w:sz w:val="30"/>
          <w:szCs w:val="30"/>
          <w:lang w:val="nl-BE"/>
        </w:rPr>
        <w:drawing>
          <wp:inline distT="0" distB="0" distL="0" distR="0" wp14:anchorId="635DDF5D" wp14:editId="135DB0D2">
            <wp:extent cx="3047776" cy="2286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885" cy="2298083"/>
                    </a:xfrm>
                    <a:prstGeom prst="rect">
                      <a:avLst/>
                    </a:prstGeom>
                  </pic:spPr>
                </pic:pic>
              </a:graphicData>
            </a:graphic>
          </wp:inline>
        </w:drawing>
      </w:r>
    </w:p>
    <w:p w14:paraId="07462B50" w14:textId="09465ADF" w:rsidR="00703206" w:rsidRPr="00703206" w:rsidRDefault="00703206" w:rsidP="003B4BE4">
      <w:pPr>
        <w:contextualSpacing/>
        <w:rPr>
          <w:i/>
          <w:iCs/>
          <w:sz w:val="18"/>
          <w:szCs w:val="18"/>
          <w:lang w:val="nl-BE"/>
        </w:rPr>
      </w:pPr>
      <w:r w:rsidRPr="00703206">
        <w:rPr>
          <w:i/>
          <w:iCs/>
          <w:sz w:val="18"/>
          <w:szCs w:val="18"/>
          <w:lang w:val="nl-BE"/>
        </w:rPr>
        <w:t>Foto credit: Guillaume Birambaux</w:t>
      </w:r>
    </w:p>
    <w:p w14:paraId="37692349" w14:textId="77777777" w:rsidR="00703206" w:rsidRDefault="00703206" w:rsidP="003B4BE4">
      <w:pPr>
        <w:contextualSpacing/>
        <w:rPr>
          <w:b/>
          <w:bCs/>
          <w:sz w:val="30"/>
          <w:szCs w:val="30"/>
          <w:lang w:val="nl-BE"/>
        </w:rPr>
      </w:pPr>
    </w:p>
    <w:p w14:paraId="3041F300" w14:textId="0A70197A" w:rsidR="003B4BE4" w:rsidRPr="003B4BE4" w:rsidRDefault="00DA33E1" w:rsidP="003B4BE4">
      <w:pPr>
        <w:contextualSpacing/>
        <w:rPr>
          <w:b/>
          <w:bCs/>
          <w:sz w:val="30"/>
          <w:szCs w:val="30"/>
          <w:lang w:val="nl-BE"/>
        </w:rPr>
      </w:pPr>
      <w:r w:rsidRPr="00DA33E1">
        <w:rPr>
          <w:b/>
          <w:bCs/>
          <w:sz w:val="30"/>
          <w:szCs w:val="30"/>
          <w:lang w:val="nl-BE"/>
        </w:rPr>
        <w:t xml:space="preserve">NHV voltooit eerste duurzame </w:t>
      </w:r>
      <w:r w:rsidR="00E63601" w:rsidRPr="00E63601">
        <w:rPr>
          <w:b/>
          <w:bCs/>
          <w:sz w:val="30"/>
          <w:szCs w:val="30"/>
          <w:lang w:val="nl-BE"/>
        </w:rPr>
        <w:t>brandstofvlucht</w:t>
      </w:r>
      <w:r w:rsidRPr="00DA33E1">
        <w:rPr>
          <w:b/>
          <w:bCs/>
          <w:sz w:val="30"/>
          <w:szCs w:val="30"/>
          <w:lang w:val="nl-BE"/>
        </w:rPr>
        <w:t xml:space="preserve"> in de offshore windindustrie in samenwerking met TotalEnergies</w:t>
      </w:r>
      <w:r>
        <w:rPr>
          <w:b/>
          <w:bCs/>
          <w:sz w:val="30"/>
          <w:szCs w:val="30"/>
          <w:lang w:val="nl-BE"/>
        </w:rPr>
        <w:t>.</w:t>
      </w:r>
    </w:p>
    <w:p w14:paraId="6D1409C2" w14:textId="77777777" w:rsidR="003B4BE4" w:rsidRPr="003B4BE4" w:rsidRDefault="003B4BE4" w:rsidP="003B4BE4">
      <w:pPr>
        <w:contextualSpacing/>
        <w:rPr>
          <w:sz w:val="24"/>
          <w:szCs w:val="24"/>
          <w:lang w:val="nl-BE"/>
        </w:rPr>
      </w:pPr>
    </w:p>
    <w:p w14:paraId="34C7519C" w14:textId="672A947D" w:rsidR="003B4BE4" w:rsidRPr="003B4BE4" w:rsidRDefault="003B4BE4" w:rsidP="003B4BE4">
      <w:pPr>
        <w:contextualSpacing/>
        <w:rPr>
          <w:sz w:val="24"/>
          <w:szCs w:val="24"/>
          <w:lang w:val="nl-BE"/>
        </w:rPr>
      </w:pPr>
      <w:r w:rsidRPr="003B4BE4">
        <w:rPr>
          <w:b/>
          <w:bCs/>
          <w:sz w:val="24"/>
          <w:szCs w:val="24"/>
          <w:lang w:val="nl-BE"/>
        </w:rPr>
        <w:t>Oostende, 03 oktober 2022</w:t>
      </w:r>
      <w:r w:rsidRPr="003B4BE4">
        <w:rPr>
          <w:sz w:val="24"/>
          <w:szCs w:val="24"/>
          <w:lang w:val="nl-BE"/>
        </w:rPr>
        <w:t xml:space="preserve"> - </w:t>
      </w:r>
      <w:r w:rsidR="00962F29" w:rsidRPr="00962F29">
        <w:rPr>
          <w:sz w:val="24"/>
          <w:szCs w:val="24"/>
          <w:lang w:val="nl-BE"/>
        </w:rPr>
        <w:t xml:space="preserve">NHV is de eerste helikopteroperator die in samenwerking met partner TotalEnergies een </w:t>
      </w:r>
      <w:proofErr w:type="spellStart"/>
      <w:r w:rsidR="00962F29" w:rsidRPr="00962F29">
        <w:rPr>
          <w:sz w:val="24"/>
          <w:szCs w:val="24"/>
          <w:lang w:val="nl-BE"/>
        </w:rPr>
        <w:t>Sustainable</w:t>
      </w:r>
      <w:proofErr w:type="spellEnd"/>
      <w:r w:rsidR="00962F29" w:rsidRPr="00962F29">
        <w:rPr>
          <w:sz w:val="24"/>
          <w:szCs w:val="24"/>
          <w:lang w:val="nl-BE"/>
        </w:rPr>
        <w:t xml:space="preserve"> </w:t>
      </w:r>
      <w:proofErr w:type="spellStart"/>
      <w:r w:rsidR="00962F29" w:rsidRPr="00962F29">
        <w:rPr>
          <w:sz w:val="24"/>
          <w:szCs w:val="24"/>
          <w:lang w:val="nl-BE"/>
        </w:rPr>
        <w:t>Aviation</w:t>
      </w:r>
      <w:proofErr w:type="spellEnd"/>
      <w:r w:rsidR="00962F29" w:rsidRPr="00962F29">
        <w:rPr>
          <w:sz w:val="24"/>
          <w:szCs w:val="24"/>
          <w:lang w:val="nl-BE"/>
        </w:rPr>
        <w:t xml:space="preserve"> </w:t>
      </w:r>
      <w:proofErr w:type="spellStart"/>
      <w:r w:rsidR="00962F29" w:rsidRPr="00962F29">
        <w:rPr>
          <w:sz w:val="24"/>
          <w:szCs w:val="24"/>
          <w:lang w:val="nl-BE"/>
        </w:rPr>
        <w:t>Fuel</w:t>
      </w:r>
      <w:proofErr w:type="spellEnd"/>
      <w:r w:rsidR="00962F29" w:rsidRPr="00962F29">
        <w:rPr>
          <w:sz w:val="24"/>
          <w:szCs w:val="24"/>
          <w:lang w:val="nl-BE"/>
        </w:rPr>
        <w:t xml:space="preserve"> (SAF) vlucht uitvoert</w:t>
      </w:r>
      <w:r w:rsidR="00AF065B">
        <w:rPr>
          <w:sz w:val="24"/>
          <w:szCs w:val="24"/>
          <w:lang w:val="nl-BE"/>
        </w:rPr>
        <w:t xml:space="preserve"> in de offshore wind sector</w:t>
      </w:r>
      <w:r w:rsidR="00962F29" w:rsidRPr="00962F29">
        <w:rPr>
          <w:sz w:val="24"/>
          <w:szCs w:val="24"/>
          <w:lang w:val="nl-BE"/>
        </w:rPr>
        <w:t xml:space="preserve">. Dit project markeert het begin van een langdurige samenwerking tussen de twee bedrijven om hun inzet voor de energietransitie te ondersteunen.   </w:t>
      </w:r>
    </w:p>
    <w:p w14:paraId="09CDC99B" w14:textId="36BBE765" w:rsidR="002B76DA" w:rsidRDefault="002B76DA" w:rsidP="003B4BE4">
      <w:pPr>
        <w:contextualSpacing/>
        <w:rPr>
          <w:sz w:val="24"/>
          <w:szCs w:val="24"/>
          <w:lang w:val="nl-BE"/>
        </w:rPr>
      </w:pPr>
    </w:p>
    <w:p w14:paraId="75CE6144" w14:textId="06E72B61" w:rsidR="003B4BE4" w:rsidRDefault="003B591B" w:rsidP="003B4BE4">
      <w:pPr>
        <w:contextualSpacing/>
        <w:rPr>
          <w:sz w:val="24"/>
          <w:szCs w:val="24"/>
          <w:lang w:val="nl-BE"/>
        </w:rPr>
      </w:pPr>
      <w:r w:rsidRPr="003B591B">
        <w:rPr>
          <w:sz w:val="24"/>
          <w:szCs w:val="24"/>
          <w:lang w:val="nl-BE"/>
        </w:rPr>
        <w:t xml:space="preserve">De eerste helikoptervlucht op duurzame vliegtuigbrandstof vond plaats op het hoofdkantoor van NHV in Oostende. Deze vlucht was voor een evenement georganiseerd door Elia. De NHV-helikopter vertrok om </w:t>
      </w:r>
      <w:r w:rsidR="00E153EC" w:rsidRPr="00E153EC">
        <w:rPr>
          <w:sz w:val="24"/>
          <w:szCs w:val="24"/>
          <w:lang w:val="nl-BE"/>
        </w:rPr>
        <w:t xml:space="preserve">12.25 </w:t>
      </w:r>
      <w:r w:rsidRPr="00E153EC">
        <w:rPr>
          <w:sz w:val="24"/>
          <w:szCs w:val="24"/>
          <w:lang w:val="nl-BE"/>
        </w:rPr>
        <w:t>uur 's</w:t>
      </w:r>
      <w:r w:rsidRPr="003B591B">
        <w:rPr>
          <w:sz w:val="24"/>
          <w:szCs w:val="24"/>
          <w:lang w:val="nl-BE"/>
        </w:rPr>
        <w:t xml:space="preserve"> ochtends van de basis in Oostende en vloog een delegatie van Elia en Belgische politici naar het Modular Offshore </w:t>
      </w:r>
      <w:proofErr w:type="spellStart"/>
      <w:r w:rsidRPr="003B591B">
        <w:rPr>
          <w:sz w:val="24"/>
          <w:szCs w:val="24"/>
          <w:lang w:val="nl-BE"/>
        </w:rPr>
        <w:t>Grid</w:t>
      </w:r>
      <w:proofErr w:type="spellEnd"/>
      <w:r w:rsidRPr="003B591B">
        <w:rPr>
          <w:sz w:val="24"/>
          <w:szCs w:val="24"/>
          <w:lang w:val="nl-BE"/>
        </w:rPr>
        <w:t xml:space="preserve"> (MOG 1) van Elia, een platform in de Noordzee dat kabels van offshore windparken bundelt en verbindt met het vasteland.</w:t>
      </w:r>
    </w:p>
    <w:p w14:paraId="1C35FBAF" w14:textId="77777777" w:rsidR="003B591B" w:rsidRPr="003B4BE4" w:rsidRDefault="003B591B" w:rsidP="003B4BE4">
      <w:pPr>
        <w:contextualSpacing/>
        <w:rPr>
          <w:sz w:val="24"/>
          <w:szCs w:val="24"/>
          <w:lang w:val="nl-BE"/>
        </w:rPr>
      </w:pPr>
    </w:p>
    <w:p w14:paraId="42BDC553" w14:textId="6FB8299A" w:rsidR="00274700" w:rsidRDefault="003B4BE4" w:rsidP="00274700">
      <w:pPr>
        <w:contextualSpacing/>
        <w:rPr>
          <w:sz w:val="24"/>
          <w:szCs w:val="24"/>
          <w:lang w:val="nl-BE"/>
        </w:rPr>
      </w:pPr>
      <w:r w:rsidRPr="003B4BE4">
        <w:rPr>
          <w:sz w:val="24"/>
          <w:szCs w:val="24"/>
          <w:lang w:val="nl-BE"/>
        </w:rPr>
        <w:t>Tijdens deze vlucht is door het gebruik van duurzame vliegtuigbrandstof van TotalEnergies de C02-uitstoot met 27% verminderd.</w:t>
      </w:r>
      <w:r w:rsidR="0096167B">
        <w:rPr>
          <w:sz w:val="24"/>
          <w:szCs w:val="24"/>
          <w:lang w:val="nl-BE"/>
        </w:rPr>
        <w:t xml:space="preserve"> </w:t>
      </w:r>
      <w:r w:rsidRPr="003B4BE4">
        <w:rPr>
          <w:sz w:val="24"/>
          <w:szCs w:val="24"/>
          <w:lang w:val="nl-BE"/>
        </w:rPr>
        <w:t>De door TotalEnergies geleverde duurzame vliegtuigbrandstof wordt in Europa geproduceerd</w:t>
      </w:r>
      <w:r w:rsidR="00274700">
        <w:rPr>
          <w:sz w:val="24"/>
          <w:szCs w:val="24"/>
          <w:lang w:val="nl-BE"/>
        </w:rPr>
        <w:t xml:space="preserve"> </w:t>
      </w:r>
      <w:r w:rsidR="00274700" w:rsidRPr="00274700">
        <w:rPr>
          <w:sz w:val="24"/>
          <w:szCs w:val="24"/>
          <w:lang w:val="nl-BE"/>
        </w:rPr>
        <w:t>en gemaakt van afval en reststoffen uit de circulaire economie, zoals afgewerkte bakolie.</w:t>
      </w:r>
      <w:r w:rsidR="00274700">
        <w:rPr>
          <w:sz w:val="24"/>
          <w:szCs w:val="24"/>
          <w:lang w:val="nl-BE"/>
        </w:rPr>
        <w:t xml:space="preserve"> </w:t>
      </w:r>
      <w:r w:rsidR="00274700" w:rsidRPr="00274700">
        <w:rPr>
          <w:sz w:val="24"/>
          <w:szCs w:val="24"/>
          <w:lang w:val="nl-BE"/>
        </w:rPr>
        <w:t xml:space="preserve">De hernieuwbare fractie vermindert tot 90% van de CO2-uitstoot over de gehele levenscyclus, in vergelijking met het </w:t>
      </w:r>
      <w:r w:rsidR="00274700">
        <w:rPr>
          <w:sz w:val="24"/>
          <w:szCs w:val="24"/>
          <w:lang w:val="nl-BE"/>
        </w:rPr>
        <w:t xml:space="preserve">fossiele equivalent. </w:t>
      </w:r>
      <w:r w:rsidR="00274700" w:rsidRPr="00274700">
        <w:rPr>
          <w:sz w:val="24"/>
          <w:szCs w:val="24"/>
          <w:lang w:val="nl-BE"/>
        </w:rPr>
        <w:t>Eenmaal geproduceerd, wordt deze hernieuwbare fractie gemengd met tot 30% traditionele brandstof (JET A-1) om duurzame vliegtuigbrandstof te creëren, die dezelfde technische eigenschappen heeft als JET A-1 en geen aanpassingen aan het vliegtuig, de logistiek, de infrastructuur of de tankbeurten vereist.</w:t>
      </w:r>
    </w:p>
    <w:p w14:paraId="1F4059BB" w14:textId="77777777" w:rsidR="00D33D52" w:rsidRPr="003B4BE4" w:rsidRDefault="00D33D52" w:rsidP="003B4BE4">
      <w:pPr>
        <w:contextualSpacing/>
        <w:rPr>
          <w:sz w:val="24"/>
          <w:szCs w:val="24"/>
          <w:lang w:val="nl-BE"/>
        </w:rPr>
      </w:pPr>
    </w:p>
    <w:p w14:paraId="1C926D46" w14:textId="76EA1383" w:rsidR="001F7F13" w:rsidRDefault="00E57F93" w:rsidP="003B4BE4">
      <w:pPr>
        <w:contextualSpacing/>
        <w:rPr>
          <w:sz w:val="24"/>
          <w:szCs w:val="24"/>
          <w:lang w:val="nl-BE"/>
        </w:rPr>
      </w:pPr>
      <w:r w:rsidRPr="00E57F93">
        <w:rPr>
          <w:sz w:val="24"/>
          <w:szCs w:val="24"/>
          <w:lang w:val="nl-BE"/>
        </w:rPr>
        <w:t xml:space="preserve">Bram De Backer, </w:t>
      </w:r>
      <w:proofErr w:type="spellStart"/>
      <w:r w:rsidRPr="00E57F93">
        <w:rPr>
          <w:sz w:val="24"/>
          <w:szCs w:val="24"/>
          <w:lang w:val="nl-BE"/>
        </w:rPr>
        <w:t>Vice</w:t>
      </w:r>
      <w:proofErr w:type="spellEnd"/>
      <w:r w:rsidRPr="00E57F93">
        <w:rPr>
          <w:sz w:val="24"/>
          <w:szCs w:val="24"/>
          <w:lang w:val="nl-BE"/>
        </w:rPr>
        <w:t xml:space="preserve"> President Offshore Wind bij NHV Group: </w:t>
      </w:r>
      <w:r w:rsidRPr="00E57F93">
        <w:rPr>
          <w:i/>
          <w:iCs/>
          <w:sz w:val="24"/>
          <w:szCs w:val="24"/>
          <w:lang w:val="nl-BE"/>
        </w:rPr>
        <w:t>"Dit is een enorme mijlpaal voor NHV en de sector omdat het de eerste keer is dat duurzame vliegtuigbrandstof wordt gebruikt ter ondersteuning van Offshore Wind</w:t>
      </w:r>
      <w:r w:rsidR="002A6CAF">
        <w:rPr>
          <w:i/>
          <w:iCs/>
          <w:sz w:val="24"/>
          <w:szCs w:val="24"/>
          <w:lang w:val="nl-BE"/>
        </w:rPr>
        <w:t>.</w:t>
      </w:r>
      <w:r w:rsidRPr="00E57F93">
        <w:rPr>
          <w:i/>
          <w:iCs/>
          <w:sz w:val="24"/>
          <w:szCs w:val="24"/>
          <w:lang w:val="nl-BE"/>
        </w:rPr>
        <w:t xml:space="preserve"> Investeren in dit soort brandstof is de eerste stap in het verminderen van de totale koolstofvoetafdruk en het milieuvriendelijker maken van helikoptertransport."</w:t>
      </w:r>
    </w:p>
    <w:p w14:paraId="0363B350" w14:textId="77777777" w:rsidR="00E57F93" w:rsidRPr="003B4BE4" w:rsidRDefault="00E57F93" w:rsidP="003B4BE4">
      <w:pPr>
        <w:contextualSpacing/>
        <w:rPr>
          <w:sz w:val="24"/>
          <w:szCs w:val="24"/>
          <w:lang w:val="nl-BE"/>
        </w:rPr>
      </w:pPr>
    </w:p>
    <w:p w14:paraId="5F11440D" w14:textId="0EB51FAE" w:rsidR="00D82C6B" w:rsidRDefault="003B4BE4" w:rsidP="00B833EF">
      <w:pPr>
        <w:contextualSpacing/>
        <w:rPr>
          <w:sz w:val="24"/>
          <w:szCs w:val="24"/>
          <w:lang w:val="nl-BE"/>
        </w:rPr>
      </w:pPr>
      <w:r w:rsidRPr="003B4BE4">
        <w:rPr>
          <w:sz w:val="24"/>
          <w:szCs w:val="24"/>
          <w:lang w:val="nl-BE"/>
        </w:rPr>
        <w:t>"</w:t>
      </w:r>
      <w:r w:rsidRPr="00D33D52">
        <w:rPr>
          <w:i/>
          <w:iCs/>
          <w:sz w:val="24"/>
          <w:szCs w:val="24"/>
          <w:lang w:val="nl-BE"/>
        </w:rPr>
        <w:t>De ontwikkeling van duurzame vliegtuigbrandstoffen is een van de kerngebieden van de strategie van TotalEnergies om samen met de maatschappij haar ambitie van koolstofneutraliteit tegen 2050 te realiseren</w:t>
      </w:r>
      <w:r w:rsidRPr="003B4BE4">
        <w:rPr>
          <w:sz w:val="24"/>
          <w:szCs w:val="24"/>
          <w:lang w:val="nl-BE"/>
        </w:rPr>
        <w:t xml:space="preserve">", aldus Joël </w:t>
      </w:r>
      <w:proofErr w:type="spellStart"/>
      <w:r w:rsidRPr="003B4BE4">
        <w:rPr>
          <w:sz w:val="24"/>
          <w:szCs w:val="24"/>
          <w:lang w:val="nl-BE"/>
        </w:rPr>
        <w:t>Navaron</w:t>
      </w:r>
      <w:proofErr w:type="spellEnd"/>
      <w:r w:rsidRPr="003B4BE4">
        <w:rPr>
          <w:sz w:val="24"/>
          <w:szCs w:val="24"/>
          <w:lang w:val="nl-BE"/>
        </w:rPr>
        <w:t xml:space="preserve">, </w:t>
      </w:r>
      <w:r w:rsidR="008566D0">
        <w:rPr>
          <w:sz w:val="24"/>
          <w:szCs w:val="24"/>
          <w:lang w:val="nl-BE"/>
        </w:rPr>
        <w:t xml:space="preserve">Directeur </w:t>
      </w:r>
      <w:proofErr w:type="spellStart"/>
      <w:r w:rsidRPr="003B4BE4">
        <w:rPr>
          <w:sz w:val="24"/>
          <w:szCs w:val="24"/>
          <w:lang w:val="nl-BE"/>
        </w:rPr>
        <w:t>Aviation</w:t>
      </w:r>
      <w:proofErr w:type="spellEnd"/>
      <w:r w:rsidRPr="003B4BE4">
        <w:rPr>
          <w:sz w:val="24"/>
          <w:szCs w:val="24"/>
          <w:lang w:val="nl-BE"/>
        </w:rPr>
        <w:t xml:space="preserve"> bij TotalEnergies. "</w:t>
      </w:r>
      <w:r w:rsidRPr="008566D0">
        <w:rPr>
          <w:i/>
          <w:iCs/>
          <w:sz w:val="24"/>
          <w:szCs w:val="24"/>
          <w:lang w:val="nl-BE"/>
        </w:rPr>
        <w:t>Wij zijn verheugd over deze samenwerking met NHV, die ons in staat stelt deze</w:t>
      </w:r>
      <w:r w:rsidR="00D82C6B">
        <w:rPr>
          <w:i/>
          <w:iCs/>
          <w:sz w:val="24"/>
          <w:szCs w:val="24"/>
          <w:lang w:val="nl-BE"/>
        </w:rPr>
        <w:t xml:space="preserve"> belangrijke </w:t>
      </w:r>
      <w:r w:rsidRPr="008566D0">
        <w:rPr>
          <w:i/>
          <w:iCs/>
          <w:sz w:val="24"/>
          <w:szCs w:val="24"/>
          <w:lang w:val="nl-BE"/>
        </w:rPr>
        <w:t>tankbeurt te realiseren</w:t>
      </w:r>
      <w:r w:rsidR="00D82C6B">
        <w:rPr>
          <w:i/>
          <w:iCs/>
          <w:sz w:val="24"/>
          <w:szCs w:val="24"/>
          <w:lang w:val="nl-BE"/>
        </w:rPr>
        <w:t xml:space="preserve"> in België</w:t>
      </w:r>
      <w:r w:rsidRPr="008566D0">
        <w:rPr>
          <w:i/>
          <w:iCs/>
          <w:sz w:val="24"/>
          <w:szCs w:val="24"/>
          <w:lang w:val="nl-BE"/>
        </w:rPr>
        <w:t xml:space="preserve"> </w:t>
      </w:r>
      <w:r w:rsidR="0048381B">
        <w:rPr>
          <w:i/>
          <w:iCs/>
          <w:sz w:val="24"/>
          <w:szCs w:val="24"/>
          <w:lang w:val="nl-BE"/>
        </w:rPr>
        <w:t>als</w:t>
      </w:r>
      <w:r w:rsidRPr="008566D0">
        <w:rPr>
          <w:i/>
          <w:iCs/>
          <w:sz w:val="24"/>
          <w:szCs w:val="24"/>
          <w:lang w:val="nl-BE"/>
        </w:rPr>
        <w:t xml:space="preserve"> onderdeel van een langdurige samenwerking met NHV</w:t>
      </w:r>
      <w:r w:rsidRPr="003B4BE4">
        <w:rPr>
          <w:sz w:val="24"/>
          <w:szCs w:val="24"/>
          <w:lang w:val="nl-BE"/>
        </w:rPr>
        <w:t>.</w:t>
      </w:r>
      <w:r w:rsidR="00D82C6B">
        <w:rPr>
          <w:sz w:val="24"/>
          <w:szCs w:val="24"/>
          <w:lang w:val="nl-BE"/>
        </w:rPr>
        <w:t>”</w:t>
      </w:r>
    </w:p>
    <w:p w14:paraId="1778D32D" w14:textId="77777777" w:rsidR="00274700" w:rsidRPr="00B833EF" w:rsidRDefault="00274700" w:rsidP="00B833EF">
      <w:pPr>
        <w:contextualSpacing/>
        <w:rPr>
          <w:rStyle w:val="Rfrencelgre"/>
          <w:i w:val="0"/>
          <w:iCs w:val="0"/>
          <w:sz w:val="24"/>
          <w:szCs w:val="24"/>
          <w:lang w:val="nl-BE"/>
        </w:rPr>
      </w:pPr>
    </w:p>
    <w:p w14:paraId="64C3B1DD" w14:textId="77777777" w:rsidR="00602377" w:rsidRPr="00602377" w:rsidRDefault="00BE3ECE" w:rsidP="00602377">
      <w:pPr>
        <w:contextualSpacing/>
        <w:jc w:val="center"/>
        <w:rPr>
          <w:rStyle w:val="Rfrencelgre"/>
          <w:i w:val="0"/>
          <w:iCs w:val="0"/>
          <w:sz w:val="20"/>
          <w:szCs w:val="20"/>
          <w:lang w:val="nl-BE"/>
        </w:rPr>
      </w:pPr>
      <w:r w:rsidRPr="00602377">
        <w:rPr>
          <w:rStyle w:val="Rfrencelgre"/>
          <w:lang w:val="nl-BE"/>
        </w:rPr>
        <w:t>***</w:t>
      </w:r>
    </w:p>
    <w:p w14:paraId="0366849B" w14:textId="3379DA97" w:rsidR="004A30A8" w:rsidRPr="00602377" w:rsidRDefault="004A30A8" w:rsidP="009144AD">
      <w:pPr>
        <w:contextualSpacing/>
        <w:jc w:val="left"/>
        <w:rPr>
          <w:lang w:val="nl-BE"/>
        </w:rPr>
      </w:pPr>
      <w:proofErr w:type="spellStart"/>
      <w:r w:rsidRPr="005136CA">
        <w:rPr>
          <w:b/>
          <w:bCs/>
          <w:lang w:val="nl-BE"/>
        </w:rPr>
        <w:t>About</w:t>
      </w:r>
      <w:proofErr w:type="spellEnd"/>
      <w:r w:rsidRPr="005136CA">
        <w:rPr>
          <w:b/>
          <w:bCs/>
          <w:lang w:val="nl-BE"/>
        </w:rPr>
        <w:t xml:space="preserve"> NHV Group:</w:t>
      </w:r>
    </w:p>
    <w:p w14:paraId="30566115" w14:textId="5436FE9E" w:rsidR="00602377" w:rsidRDefault="00602377" w:rsidP="00602377">
      <w:pPr>
        <w:rPr>
          <w:lang w:val="nl-BE"/>
        </w:rPr>
      </w:pPr>
      <w:r w:rsidRPr="00A3155C">
        <w:rPr>
          <w:lang w:val="nl-BE"/>
        </w:rPr>
        <w:t>NHV Group, met hoofdkantoor in Oostende België, is gespecialiseerd in B-</w:t>
      </w:r>
      <w:proofErr w:type="spellStart"/>
      <w:r w:rsidRPr="00A3155C">
        <w:rPr>
          <w:lang w:val="nl-BE"/>
        </w:rPr>
        <w:t>to</w:t>
      </w:r>
      <w:proofErr w:type="spellEnd"/>
      <w:r w:rsidRPr="00A3155C">
        <w:rPr>
          <w:lang w:val="nl-BE"/>
        </w:rPr>
        <w:t>-B helikopterdiensten en is geografisch sterk vertegenwoordigd in Europa en West-Afrika. De groep opereert vanuit verschillende bas</w:t>
      </w:r>
      <w:r>
        <w:rPr>
          <w:lang w:val="nl-BE"/>
        </w:rPr>
        <w:t>is</w:t>
      </w:r>
      <w:r w:rsidRPr="00A3155C">
        <w:rPr>
          <w:lang w:val="nl-BE"/>
        </w:rPr>
        <w:t>s</w:t>
      </w:r>
      <w:r>
        <w:rPr>
          <w:lang w:val="nl-BE"/>
        </w:rPr>
        <w:t>en</w:t>
      </w:r>
      <w:r w:rsidRPr="00A3155C">
        <w:rPr>
          <w:lang w:val="nl-BE"/>
        </w:rPr>
        <w:t xml:space="preserve"> op twee continenten met een team van meer dan 500 werknemers. NHV richt zich vooral op de energie producerende industrie, </w:t>
      </w:r>
      <w:r>
        <w:rPr>
          <w:lang w:val="nl-BE"/>
        </w:rPr>
        <w:t>inclusief</w:t>
      </w:r>
      <w:r w:rsidRPr="00A3155C">
        <w:rPr>
          <w:lang w:val="nl-BE"/>
        </w:rPr>
        <w:t xml:space="preserve"> de sector</w:t>
      </w:r>
      <w:r>
        <w:rPr>
          <w:lang w:val="nl-BE"/>
        </w:rPr>
        <w:t xml:space="preserve"> van</w:t>
      </w:r>
      <w:r w:rsidRPr="00A3155C">
        <w:rPr>
          <w:lang w:val="nl-BE"/>
        </w:rPr>
        <w:t xml:space="preserve"> hernieuwbare energie. Ons werkterrein omvat ook maritieme diensten, opsporing en redding (SAR) en havenloodsdiensten. Naast de helikopteractiviteiten is NHV een erkende opleidingsorganisatie (ATO) en een officieel servicecentrum voor onze partner </w:t>
      </w:r>
      <w:r w:rsidRPr="00A3155C">
        <w:rPr>
          <w:i/>
          <w:iCs/>
          <w:lang w:val="nl-BE"/>
        </w:rPr>
        <w:t xml:space="preserve">Airbus </w:t>
      </w:r>
      <w:proofErr w:type="spellStart"/>
      <w:r w:rsidRPr="00A3155C">
        <w:rPr>
          <w:i/>
          <w:iCs/>
          <w:lang w:val="nl-BE"/>
        </w:rPr>
        <w:t>Helicopters</w:t>
      </w:r>
      <w:proofErr w:type="spellEnd"/>
      <w:r w:rsidRPr="00A3155C">
        <w:rPr>
          <w:lang w:val="nl-BE"/>
        </w:rPr>
        <w:t xml:space="preserve">. NHV biedt ook oplossingen voor onderhoud, reparatie en </w:t>
      </w:r>
      <w:r>
        <w:rPr>
          <w:lang w:val="nl-BE"/>
        </w:rPr>
        <w:t>controle</w:t>
      </w:r>
      <w:r w:rsidRPr="00A3155C">
        <w:rPr>
          <w:lang w:val="nl-BE"/>
        </w:rPr>
        <w:t xml:space="preserve"> (MRO). Naast de ondersteuning van zijn vloot levert NHV uitgebreide onderhoudsdiensten aan derden voor diverse </w:t>
      </w:r>
      <w:r>
        <w:rPr>
          <w:lang w:val="nl-BE"/>
        </w:rPr>
        <w:t>burgerlijke</w:t>
      </w:r>
      <w:r w:rsidRPr="00A3155C">
        <w:rPr>
          <w:lang w:val="nl-BE"/>
        </w:rPr>
        <w:t xml:space="preserve"> en militaire klanten. De groep beschikt over een polyvalente vloot van meer dan 40 helikopters. De meerderheidsaandeelhouder van NHV is </w:t>
      </w:r>
      <w:proofErr w:type="spellStart"/>
      <w:r w:rsidRPr="00A3155C">
        <w:rPr>
          <w:lang w:val="nl-BE"/>
        </w:rPr>
        <w:t>Ardian</w:t>
      </w:r>
      <w:proofErr w:type="spellEnd"/>
      <w:r w:rsidRPr="00A3155C">
        <w:rPr>
          <w:lang w:val="nl-BE"/>
        </w:rPr>
        <w:t>, de wereldwijd toonaangevende particuliere investeringsmaatschappij met een beheerd of geadviseerd vermogen van 120 miljard dollar in Europa, Noord- en Zuid-Amerika, Azië en het Midden-Oosten.</w:t>
      </w:r>
    </w:p>
    <w:p w14:paraId="5CD2CD29" w14:textId="77777777" w:rsidR="009144AD" w:rsidRPr="00A3155C" w:rsidRDefault="009144AD" w:rsidP="00602377">
      <w:pPr>
        <w:rPr>
          <w:lang w:val="nl-BE"/>
        </w:rPr>
      </w:pPr>
    </w:p>
    <w:p w14:paraId="7CD73678" w14:textId="758B3C64" w:rsidR="00602377" w:rsidRDefault="00602377" w:rsidP="00602377">
      <w:pPr>
        <w:rPr>
          <w:lang w:val="nl-BE"/>
        </w:rPr>
      </w:pPr>
      <w:r w:rsidRPr="00A3155C">
        <w:rPr>
          <w:lang w:val="nl-BE"/>
        </w:rPr>
        <w:t>NHV Group heeft geen Russische aandeelhouders en is niet betrokken bij Russische gelieerde organisaties voor de levering van helikopterdiensten of vliegtuigonderdelen.</w:t>
      </w:r>
    </w:p>
    <w:p w14:paraId="7998D0EB" w14:textId="77777777" w:rsidR="00602377" w:rsidRDefault="00602377" w:rsidP="00602377">
      <w:pPr>
        <w:rPr>
          <w:lang w:val="nl-BE"/>
        </w:rPr>
      </w:pPr>
    </w:p>
    <w:p w14:paraId="6751A39C" w14:textId="77777777" w:rsidR="00602377" w:rsidRDefault="00602377" w:rsidP="00602377">
      <w:pPr>
        <w:jc w:val="left"/>
        <w:rPr>
          <w:b/>
          <w:bCs/>
          <w:lang w:val="nl-BE"/>
        </w:rPr>
      </w:pPr>
      <w:r w:rsidRPr="00EB26A7">
        <w:rPr>
          <w:b/>
          <w:bCs/>
          <w:lang w:val="nl-BE"/>
        </w:rPr>
        <w:t>Voor meer informatie contacteer alstublieft:</w:t>
      </w:r>
      <w:r>
        <w:rPr>
          <w:b/>
          <w:bCs/>
          <w:lang w:val="nl-BE"/>
        </w:rPr>
        <w:br/>
      </w:r>
      <w:proofErr w:type="spellStart"/>
      <w:r w:rsidRPr="00602377">
        <w:rPr>
          <w:lang w:val="nl-BE"/>
        </w:rPr>
        <w:t>Jessicca</w:t>
      </w:r>
      <w:proofErr w:type="spellEnd"/>
      <w:r w:rsidRPr="00602377">
        <w:rPr>
          <w:lang w:val="nl-BE"/>
        </w:rPr>
        <w:t xml:space="preserve"> Gordon</w:t>
      </w:r>
      <w:r w:rsidRPr="00602377">
        <w:rPr>
          <w:b/>
          <w:bCs/>
          <w:lang w:val="nl-BE"/>
        </w:rPr>
        <w:br/>
      </w:r>
      <w:hyperlink r:id="rId12" w:history="1">
        <w:r w:rsidRPr="00602377">
          <w:rPr>
            <w:rStyle w:val="Lienhypertexte"/>
            <w:lang w:val="nl-BE"/>
          </w:rPr>
          <w:t>communication@nhv.be</w:t>
        </w:r>
      </w:hyperlink>
      <w:r w:rsidRPr="00602377">
        <w:rPr>
          <w:b/>
          <w:bCs/>
          <w:lang w:val="nl-BE"/>
        </w:rPr>
        <w:br/>
      </w:r>
      <w:r w:rsidRPr="00602377">
        <w:rPr>
          <w:lang w:val="nl-BE"/>
        </w:rPr>
        <w:t>+44 (0)771 259 1774</w:t>
      </w:r>
    </w:p>
    <w:p w14:paraId="3BCBA4DC" w14:textId="0E806A1C" w:rsidR="004A30A8" w:rsidRPr="00602377" w:rsidRDefault="004A30A8" w:rsidP="004A30A8">
      <w:pPr>
        <w:contextualSpacing/>
        <w:rPr>
          <w:rStyle w:val="Rfrencelgre"/>
          <w:sz w:val="20"/>
          <w:szCs w:val="20"/>
          <w:lang w:val="nl-BE"/>
        </w:rPr>
      </w:pPr>
    </w:p>
    <w:p w14:paraId="18904019" w14:textId="5E424910" w:rsidR="00CF3341" w:rsidRPr="00F016F1" w:rsidRDefault="00345269" w:rsidP="00CF3341">
      <w:pPr>
        <w:contextualSpacing/>
        <w:rPr>
          <w:b/>
          <w:bCs/>
          <w:lang w:val="nl-BE"/>
        </w:rPr>
      </w:pPr>
      <w:r w:rsidRPr="00F016F1">
        <w:rPr>
          <w:b/>
          <w:bCs/>
          <w:lang w:val="nl-BE"/>
        </w:rPr>
        <w:t xml:space="preserve">Over </w:t>
      </w:r>
      <w:r w:rsidR="00CF3341" w:rsidRPr="00F016F1">
        <w:rPr>
          <w:b/>
          <w:bCs/>
          <w:lang w:val="nl-BE"/>
        </w:rPr>
        <w:t>TotalEnergies en de luchtvaart</w:t>
      </w:r>
    </w:p>
    <w:p w14:paraId="70F7CB0F" w14:textId="77777777" w:rsidR="00CF3341" w:rsidRPr="00CF3341" w:rsidRDefault="00CF3341" w:rsidP="00CF3341">
      <w:pPr>
        <w:contextualSpacing/>
        <w:rPr>
          <w:lang w:val="nl-BE"/>
        </w:rPr>
      </w:pPr>
      <w:r w:rsidRPr="00CF3341">
        <w:rPr>
          <w:lang w:val="nl-BE"/>
        </w:rPr>
        <w:t xml:space="preserve">TotalEnergies is een van de belangrijkste leveranciers van vliegtuigbrandstof in Frankrijk, de rest van Europa en Afrika, en levert tankdiensten aan bijna 280 luchtvaartmaatschappijen in meer dan 300 luchthavens wereldwijd. Het bedrijf biedt een volledig gamma van producten (SAF, Jet A-1, </w:t>
      </w:r>
      <w:proofErr w:type="spellStart"/>
      <w:r w:rsidRPr="00CF3341">
        <w:rPr>
          <w:lang w:val="nl-BE"/>
        </w:rPr>
        <w:t>Avgas</w:t>
      </w:r>
      <w:proofErr w:type="spellEnd"/>
      <w:r w:rsidRPr="00CF3341">
        <w:rPr>
          <w:lang w:val="nl-BE"/>
        </w:rPr>
        <w:t>) en diensten aan, aangepast aan elk type klant: zaken- of vrijetijdsvluchten, luchtvaartindustrie, luchthavens, luchtvaartmaatschappijen, enz.</w:t>
      </w:r>
    </w:p>
    <w:p w14:paraId="6D35DF54" w14:textId="77777777" w:rsidR="00CF3341" w:rsidRPr="00CF3341" w:rsidRDefault="00CF3341" w:rsidP="00CF3341">
      <w:pPr>
        <w:contextualSpacing/>
        <w:rPr>
          <w:lang w:val="nl-BE"/>
        </w:rPr>
      </w:pPr>
    </w:p>
    <w:p w14:paraId="46C59479" w14:textId="431AEEAA" w:rsidR="00CF3341" w:rsidRPr="00CF3341" w:rsidRDefault="00CF3341" w:rsidP="00CF3341">
      <w:pPr>
        <w:contextualSpacing/>
        <w:rPr>
          <w:lang w:val="nl-BE"/>
        </w:rPr>
      </w:pPr>
      <w:r w:rsidRPr="00CF3341">
        <w:rPr>
          <w:lang w:val="nl-BE"/>
        </w:rPr>
        <w:t xml:space="preserve">TotalEnergies is betrokken bij talrijke initiatieven om duurzame vliegtuigbrandstof te produceren en op de markt te brengen in samenwerking met partners uit de luchtvaartindustrie. In 2021 werd een speciale Business Unit Hernieuwbare Brandstoffen opgericht en in mei 2021 werden nieuwe mijlpalen bereikt met de succesvolle eerste vlucht van een langeafstandsvliegtuig aangedreven door Duurzame Vliegtuigbrandstof geproduceerd door TotalEnergies in Frankrijk en in september 2021 met een vlucht Nice-Parijs </w:t>
      </w:r>
      <w:r w:rsidR="005C6931">
        <w:rPr>
          <w:lang w:val="nl-BE"/>
        </w:rPr>
        <w:t>getankt</w:t>
      </w:r>
      <w:r w:rsidRPr="00CF3341">
        <w:rPr>
          <w:lang w:val="nl-BE"/>
        </w:rPr>
        <w:t xml:space="preserve"> met 30% SAF.</w:t>
      </w:r>
    </w:p>
    <w:p w14:paraId="24DDC2A5" w14:textId="77777777" w:rsidR="00CF3341" w:rsidRPr="00CF3341" w:rsidRDefault="00CF3341" w:rsidP="00CF3341">
      <w:pPr>
        <w:contextualSpacing/>
        <w:rPr>
          <w:lang w:val="nl-BE"/>
        </w:rPr>
      </w:pPr>
    </w:p>
    <w:p w14:paraId="6A8101DD" w14:textId="77777777" w:rsidR="00CF3341" w:rsidRPr="00CF3341" w:rsidRDefault="00CF3341" w:rsidP="00CF3341">
      <w:pPr>
        <w:contextualSpacing/>
        <w:rPr>
          <w:lang w:val="nl-BE"/>
        </w:rPr>
      </w:pPr>
      <w:r w:rsidRPr="00CF3341">
        <w:rPr>
          <w:lang w:val="nl-BE"/>
        </w:rPr>
        <w:t xml:space="preserve">Door de opkomst van een duurzame waardeketen voor vliegtuigbrandstof te ontwikkelen en te ondersteunen, bevestigt TotalEnergies de leidende rol die Frankrijk en de rest van Europa spelen bij het stimuleren van innovatie in de energie- en milieutransitie. </w:t>
      </w:r>
    </w:p>
    <w:p w14:paraId="723177E3" w14:textId="77777777" w:rsidR="00CF3341" w:rsidRPr="00CF3341" w:rsidRDefault="00CF3341" w:rsidP="00CF3341">
      <w:pPr>
        <w:contextualSpacing/>
        <w:rPr>
          <w:lang w:val="nl-BE"/>
        </w:rPr>
      </w:pPr>
    </w:p>
    <w:p w14:paraId="37D7CC48" w14:textId="77777777" w:rsidR="00345269" w:rsidRPr="00075725" w:rsidRDefault="00345269" w:rsidP="00345269">
      <w:pPr>
        <w:rPr>
          <w:rFonts w:cs="Arial"/>
          <w:b/>
          <w:lang w:val="nl-BE"/>
        </w:rPr>
      </w:pPr>
      <w:r w:rsidRPr="00075725">
        <w:rPr>
          <w:rFonts w:cs="Arial"/>
          <w:b/>
          <w:lang w:val="nl-BE"/>
        </w:rPr>
        <w:t xml:space="preserve">Over TotalEnergies in de wereld  </w:t>
      </w:r>
    </w:p>
    <w:p w14:paraId="6CC4C6E3" w14:textId="77777777" w:rsidR="00345269" w:rsidRPr="00075725" w:rsidRDefault="00345269" w:rsidP="00345269">
      <w:pPr>
        <w:rPr>
          <w:rFonts w:cs="Arial"/>
          <w:lang w:val="nl-BE"/>
        </w:rPr>
      </w:pPr>
      <w:r w:rsidRPr="00075725">
        <w:rPr>
          <w:rFonts w:cs="Arial"/>
          <w:lang w:val="nl-BE"/>
        </w:rPr>
        <w:t xml:space="preserve">TotalEnergies is een wereldwijd </w:t>
      </w:r>
      <w:proofErr w:type="spellStart"/>
      <w:r w:rsidRPr="00075725">
        <w:rPr>
          <w:rFonts w:cs="Arial"/>
          <w:lang w:val="nl-BE"/>
        </w:rPr>
        <w:t>multi</w:t>
      </w:r>
      <w:proofErr w:type="spellEnd"/>
      <w:r w:rsidRPr="00075725">
        <w:rPr>
          <w:rFonts w:cs="Arial"/>
          <w:lang w:val="nl-BE"/>
        </w:rPr>
        <w:t xml:space="preserve">-energiebedrijf dat energie produceert en levert: olie en biobrandstoffen, aardgas en groen gas, hernieuwbare energiebronnen en elektriciteit. </w:t>
      </w:r>
      <w:r>
        <w:rPr>
          <w:rFonts w:cs="Arial"/>
          <w:lang w:val="nl-BE"/>
        </w:rPr>
        <w:t>Meer dan</w:t>
      </w:r>
      <w:r w:rsidRPr="00075725">
        <w:rPr>
          <w:rFonts w:cs="Arial"/>
          <w:lang w:val="nl-BE"/>
        </w:rPr>
        <w:t xml:space="preserve"> 10</w:t>
      </w:r>
      <w:r>
        <w:rPr>
          <w:rFonts w:cs="Arial"/>
          <w:lang w:val="nl-BE"/>
        </w:rPr>
        <w:t>0</w:t>
      </w:r>
      <w:r w:rsidRPr="00075725">
        <w:rPr>
          <w:rFonts w:cs="Arial"/>
          <w:lang w:val="nl-BE"/>
        </w:rPr>
        <w:t xml:space="preserve">.000 medewerkers zetten zich in voor energie die steeds betaalbaarder, schoner, betrouwbaarder </w:t>
      </w:r>
      <w:r w:rsidRPr="00075725">
        <w:rPr>
          <w:rFonts w:cs="Arial"/>
          <w:lang w:val="nl-BE"/>
        </w:rPr>
        <w:lastRenderedPageBreak/>
        <w:t>en voor zoveel mogelijk mensen toegankelijk is. TotalEnergies is aanwezig in meer dan 130 landen en plaatst duurzame ontwikkeling in al zijn dimensies centraal in zijn projecten en activiteiten om bij te dragen tot het welzijn van de bevolking</w:t>
      </w:r>
    </w:p>
    <w:p w14:paraId="11500C5A" w14:textId="77777777" w:rsidR="004A30A8" w:rsidRPr="00345269" w:rsidRDefault="004A30A8" w:rsidP="004A30A8">
      <w:pPr>
        <w:contextualSpacing/>
        <w:rPr>
          <w:rStyle w:val="Rfrencelgre"/>
          <w:i w:val="0"/>
          <w:iCs w:val="0"/>
          <w:sz w:val="20"/>
          <w:szCs w:val="20"/>
          <w:lang w:val="nl-BE"/>
        </w:rPr>
      </w:pPr>
    </w:p>
    <w:p w14:paraId="46F68F18" w14:textId="77777777" w:rsidR="004A30A8" w:rsidRPr="00DA33E1" w:rsidRDefault="004A30A8" w:rsidP="004A30A8">
      <w:pPr>
        <w:contextualSpacing/>
        <w:jc w:val="center"/>
        <w:rPr>
          <w:rStyle w:val="Lienhypertexte"/>
          <w:lang w:val="nl-BE"/>
        </w:rPr>
      </w:pPr>
      <w:r w:rsidRPr="00B2420C">
        <w:rPr>
          <w:noProof/>
          <w:lang w:val="en-US"/>
        </w:rPr>
        <w:drawing>
          <wp:inline distT="0" distB="0" distL="0" distR="0" wp14:anchorId="2E841438" wp14:editId="1C087C0B">
            <wp:extent cx="216000" cy="21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A33E1">
        <w:rPr>
          <w:lang w:val="nl-BE"/>
        </w:rPr>
        <w:t xml:space="preserve"> </w:t>
      </w:r>
      <w:hyperlink r:id="rId14" w:history="1">
        <w:r w:rsidRPr="00DA33E1">
          <w:rPr>
            <w:rStyle w:val="Lienhypertexte"/>
            <w:lang w:val="nl-BE"/>
          </w:rPr>
          <w:t>@TotalEnergies</w:t>
        </w:r>
      </w:hyperlink>
      <w:r w:rsidRPr="00DA33E1">
        <w:rPr>
          <w:rStyle w:val="Rfrencelgre"/>
          <w:i w:val="0"/>
          <w:iCs w:val="0"/>
          <w:sz w:val="20"/>
          <w:szCs w:val="20"/>
          <w:lang w:val="nl-BE"/>
        </w:rPr>
        <w:tab/>
      </w:r>
      <w:r w:rsidRPr="00B2420C">
        <w:rPr>
          <w:noProof/>
          <w:lang w:val="en-US"/>
        </w:rPr>
        <w:drawing>
          <wp:inline distT="0" distB="0" distL="0" distR="0" wp14:anchorId="0C8B615B" wp14:editId="5A228BBE">
            <wp:extent cx="254511" cy="21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DA33E1">
        <w:rPr>
          <w:rStyle w:val="Rfrencelgre"/>
          <w:i w:val="0"/>
          <w:iCs w:val="0"/>
          <w:sz w:val="20"/>
          <w:szCs w:val="20"/>
          <w:lang w:val="nl-BE"/>
        </w:rPr>
        <w:t xml:space="preserve"> </w:t>
      </w:r>
      <w:hyperlink r:id="rId16" w:history="1">
        <w:r w:rsidRPr="00DA33E1">
          <w:rPr>
            <w:rStyle w:val="Lienhypertexte"/>
            <w:lang w:val="nl-BE"/>
          </w:rPr>
          <w:t>TotalEnergies</w:t>
        </w:r>
      </w:hyperlink>
      <w:r w:rsidRPr="00DA33E1">
        <w:rPr>
          <w:rStyle w:val="Rfrencelgre"/>
          <w:i w:val="0"/>
          <w:iCs w:val="0"/>
          <w:sz w:val="20"/>
          <w:szCs w:val="20"/>
          <w:lang w:val="nl-BE"/>
        </w:rPr>
        <w:tab/>
      </w:r>
      <w:r w:rsidRPr="00B2420C">
        <w:rPr>
          <w:noProof/>
          <w:lang w:val="en-US"/>
        </w:rPr>
        <w:drawing>
          <wp:inline distT="0" distB="0" distL="0" distR="0" wp14:anchorId="7A57CDE3" wp14:editId="158283D0">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DA33E1">
        <w:rPr>
          <w:rStyle w:val="Rfrencelgre"/>
          <w:i w:val="0"/>
          <w:iCs w:val="0"/>
          <w:sz w:val="20"/>
          <w:szCs w:val="20"/>
          <w:lang w:val="nl-BE"/>
        </w:rPr>
        <w:t xml:space="preserve"> </w:t>
      </w:r>
      <w:hyperlink r:id="rId18" w:history="1">
        <w:proofErr w:type="spellStart"/>
        <w:r w:rsidRPr="00DA33E1">
          <w:rPr>
            <w:rStyle w:val="Lienhypertexte"/>
            <w:lang w:val="nl-BE"/>
          </w:rPr>
          <w:t>TotalEnergies</w:t>
        </w:r>
        <w:proofErr w:type="spellEnd"/>
      </w:hyperlink>
      <w:r w:rsidRPr="00DA33E1">
        <w:rPr>
          <w:rStyle w:val="Rfrencelgre"/>
          <w:i w:val="0"/>
          <w:iCs w:val="0"/>
          <w:sz w:val="20"/>
          <w:szCs w:val="20"/>
          <w:lang w:val="nl-BE"/>
        </w:rPr>
        <w:tab/>
      </w:r>
      <w:r w:rsidRPr="00B2420C">
        <w:rPr>
          <w:noProof/>
          <w:lang w:val="en-US"/>
        </w:rPr>
        <w:drawing>
          <wp:inline distT="0" distB="0" distL="0" distR="0" wp14:anchorId="4B079043" wp14:editId="7C36420A">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A33E1">
        <w:rPr>
          <w:rStyle w:val="Rfrencelgre"/>
          <w:i w:val="0"/>
          <w:iCs w:val="0"/>
          <w:sz w:val="20"/>
          <w:szCs w:val="20"/>
          <w:lang w:val="nl-BE"/>
        </w:rPr>
        <w:t xml:space="preserve">  </w:t>
      </w:r>
      <w:hyperlink r:id="rId20" w:history="1">
        <w:proofErr w:type="spellStart"/>
        <w:r w:rsidRPr="00DA33E1">
          <w:rPr>
            <w:rStyle w:val="Lienhypertexte"/>
            <w:lang w:val="nl-BE"/>
          </w:rPr>
          <w:t>TotalEnergies</w:t>
        </w:r>
        <w:proofErr w:type="spellEnd"/>
      </w:hyperlink>
    </w:p>
    <w:p w14:paraId="7BDC609C" w14:textId="77777777" w:rsidR="004A30A8" w:rsidRPr="00DA33E1" w:rsidRDefault="004A30A8" w:rsidP="004A30A8">
      <w:pPr>
        <w:contextualSpacing/>
        <w:jc w:val="center"/>
        <w:rPr>
          <w:rStyle w:val="Rfrencelgre"/>
          <w:i w:val="0"/>
          <w:iCs w:val="0"/>
          <w:color w:val="285AFF" w:themeColor="hyperlink"/>
          <w:sz w:val="20"/>
          <w:szCs w:val="20"/>
          <w:u w:val="single"/>
          <w:lang w:val="nl-BE"/>
        </w:rPr>
      </w:pPr>
    </w:p>
    <w:p w14:paraId="50733928" w14:textId="77777777" w:rsidR="004A30A8" w:rsidRPr="00DA33E1" w:rsidRDefault="004A30A8" w:rsidP="004A30A8">
      <w:pPr>
        <w:contextualSpacing/>
        <w:jc w:val="center"/>
        <w:rPr>
          <w:rStyle w:val="Rfrencelgre"/>
          <w:i w:val="0"/>
          <w:iCs w:val="0"/>
          <w:color w:val="285AFF" w:themeColor="hyperlink"/>
          <w:sz w:val="20"/>
          <w:szCs w:val="20"/>
          <w:u w:val="single"/>
          <w:lang w:val="nl-BE"/>
        </w:rPr>
      </w:pPr>
    </w:p>
    <w:p w14:paraId="6F64905D" w14:textId="77777777" w:rsidR="004A30A8" w:rsidRPr="00DA33E1" w:rsidRDefault="004A30A8" w:rsidP="004A30A8">
      <w:pPr>
        <w:contextualSpacing/>
        <w:rPr>
          <w:rStyle w:val="Rfrencelgre"/>
          <w:b/>
          <w:bCs/>
          <w:i w:val="0"/>
          <w:iCs w:val="0"/>
          <w:sz w:val="20"/>
          <w:szCs w:val="20"/>
          <w:lang w:val="nl-BE"/>
        </w:rPr>
      </w:pPr>
      <w:r w:rsidRPr="00DA33E1">
        <w:rPr>
          <w:rStyle w:val="Rfrencelgre"/>
          <w:b/>
          <w:bCs/>
          <w:i w:val="0"/>
          <w:iCs w:val="0"/>
          <w:sz w:val="20"/>
          <w:szCs w:val="20"/>
          <w:lang w:val="nl-BE"/>
        </w:rPr>
        <w:t xml:space="preserve">TotalEnergies </w:t>
      </w:r>
      <w:proofErr w:type="spellStart"/>
      <w:r w:rsidRPr="00DA33E1">
        <w:rPr>
          <w:rStyle w:val="Rfrencelgre"/>
          <w:b/>
          <w:bCs/>
          <w:i w:val="0"/>
          <w:iCs w:val="0"/>
          <w:sz w:val="20"/>
          <w:szCs w:val="20"/>
          <w:lang w:val="nl-BE"/>
        </w:rPr>
        <w:t>Contacts</w:t>
      </w:r>
      <w:proofErr w:type="spellEnd"/>
    </w:p>
    <w:p w14:paraId="00034204" w14:textId="77777777" w:rsidR="004A30A8" w:rsidRPr="00DA33E1" w:rsidRDefault="004A30A8" w:rsidP="004A30A8">
      <w:pPr>
        <w:contextualSpacing/>
        <w:rPr>
          <w:rStyle w:val="Rfrencelgre"/>
          <w:i w:val="0"/>
          <w:iCs w:val="0"/>
          <w:sz w:val="20"/>
          <w:szCs w:val="20"/>
          <w:lang w:val="nl-BE"/>
        </w:rPr>
      </w:pPr>
      <w:r w:rsidRPr="00DA33E1">
        <w:rPr>
          <w:rStyle w:val="Rfrencelgre"/>
          <w:i w:val="0"/>
          <w:iCs w:val="0"/>
          <w:sz w:val="20"/>
          <w:szCs w:val="20"/>
          <w:lang w:val="nl-BE"/>
        </w:rPr>
        <w:t xml:space="preserve">Media Relations: +33 1 47 44 46 99 l </w:t>
      </w:r>
      <w:hyperlink r:id="rId21" w:history="1">
        <w:r w:rsidRPr="00DA33E1">
          <w:rPr>
            <w:rStyle w:val="Lienhypertexte"/>
            <w:color w:val="auto"/>
            <w:lang w:val="nl-BE"/>
          </w:rPr>
          <w:t>presse@totalenergies.com</w:t>
        </w:r>
      </w:hyperlink>
      <w:r w:rsidRPr="00DA33E1">
        <w:rPr>
          <w:rStyle w:val="Rfrencelgre"/>
          <w:i w:val="0"/>
          <w:iCs w:val="0"/>
          <w:sz w:val="20"/>
          <w:szCs w:val="20"/>
          <w:lang w:val="nl-BE"/>
        </w:rPr>
        <w:t xml:space="preserve"> l </w:t>
      </w:r>
      <w:hyperlink r:id="rId22" w:history="1">
        <w:r w:rsidRPr="00DA33E1">
          <w:rPr>
            <w:rStyle w:val="Lienhypertexte"/>
            <w:color w:val="auto"/>
            <w:lang w:val="nl-BE"/>
          </w:rPr>
          <w:t>@TotalEnergiesPR</w:t>
        </w:r>
      </w:hyperlink>
    </w:p>
    <w:p w14:paraId="18083B3E" w14:textId="37D711A0" w:rsidR="004A30A8" w:rsidRDefault="004A30A8" w:rsidP="004A30A8">
      <w:pPr>
        <w:contextualSpacing/>
        <w:rPr>
          <w:rStyle w:val="Lienhypertexte"/>
          <w:color w:val="auto"/>
          <w:lang w:val="nl-BE"/>
        </w:rPr>
      </w:pPr>
      <w:r w:rsidRPr="00DA33E1">
        <w:rPr>
          <w:lang w:val="nl-BE"/>
        </w:rPr>
        <w:t xml:space="preserve">Investor Relations: +44 (0)207 719 7962 l </w:t>
      </w:r>
      <w:hyperlink r:id="rId23" w:history="1">
        <w:r w:rsidRPr="00DA33E1">
          <w:rPr>
            <w:rStyle w:val="Lienhypertexte"/>
            <w:color w:val="auto"/>
            <w:lang w:val="nl-BE"/>
          </w:rPr>
          <w:t>ir@totalenergies.com</w:t>
        </w:r>
      </w:hyperlink>
    </w:p>
    <w:p w14:paraId="39C73E03" w14:textId="2775AAB1" w:rsidR="00C042D4" w:rsidRPr="00C042D4" w:rsidRDefault="00C042D4" w:rsidP="00C042D4">
      <w:pPr>
        <w:contextualSpacing/>
        <w:rPr>
          <w:rStyle w:val="Lienhypertexte"/>
          <w:color w:val="auto"/>
          <w:lang w:val="en-US"/>
        </w:rPr>
      </w:pPr>
      <w:r w:rsidRPr="00C042D4">
        <w:rPr>
          <w:rStyle w:val="Lienhypertexte"/>
          <w:color w:val="auto"/>
          <w:u w:val="none"/>
          <w:lang w:val="en-US"/>
        </w:rPr>
        <w:t xml:space="preserve">Director Public Affairs </w:t>
      </w:r>
      <w:proofErr w:type="gramStart"/>
      <w:r>
        <w:rPr>
          <w:rStyle w:val="Lienhypertexte"/>
          <w:color w:val="auto"/>
          <w:u w:val="none"/>
          <w:lang w:val="en-US"/>
        </w:rPr>
        <w:t>Belgium</w:t>
      </w:r>
      <w:r w:rsidRPr="00C042D4">
        <w:rPr>
          <w:rStyle w:val="Lienhypertexte"/>
          <w:color w:val="auto"/>
          <w:u w:val="none"/>
          <w:lang w:val="en-US"/>
        </w:rPr>
        <w:t> :</w:t>
      </w:r>
      <w:proofErr w:type="gramEnd"/>
      <w:r w:rsidRPr="00C042D4">
        <w:rPr>
          <w:rStyle w:val="Lienhypertexte"/>
          <w:color w:val="auto"/>
          <w:u w:val="none"/>
          <w:lang w:val="en-US"/>
        </w:rPr>
        <w:t xml:space="preserve"> </w:t>
      </w:r>
      <w:hyperlink r:id="rId24" w:history="1">
        <w:r w:rsidRPr="00C042D4">
          <w:rPr>
            <w:rStyle w:val="Lienhypertexte"/>
            <w:lang w:val="en-US"/>
          </w:rPr>
          <w:t>tom.claerbout@totalenergies.com</w:t>
        </w:r>
      </w:hyperlink>
      <w:r w:rsidRPr="00C042D4">
        <w:rPr>
          <w:rStyle w:val="Lienhypertexte"/>
          <w:color w:val="auto"/>
          <w:lang w:val="en-US"/>
        </w:rPr>
        <w:t xml:space="preserve"> </w:t>
      </w:r>
    </w:p>
    <w:p w14:paraId="2BA2C824" w14:textId="7E1EAD2C" w:rsidR="00C042D4" w:rsidRPr="00C042D4" w:rsidRDefault="00C042D4" w:rsidP="00C042D4">
      <w:pPr>
        <w:contextualSpacing/>
        <w:rPr>
          <w:rStyle w:val="Rfrencelgre"/>
          <w:i w:val="0"/>
          <w:iCs w:val="0"/>
          <w:sz w:val="20"/>
          <w:szCs w:val="20"/>
          <w:lang w:val="en-US"/>
        </w:rPr>
      </w:pPr>
      <w:r w:rsidRPr="00C042D4">
        <w:rPr>
          <w:rStyle w:val="Lienhypertexte"/>
          <w:color w:val="auto"/>
          <w:u w:val="none"/>
          <w:lang w:val="en-US"/>
        </w:rPr>
        <w:t xml:space="preserve">Aviation Manager </w:t>
      </w:r>
      <w:proofErr w:type="gramStart"/>
      <w:r w:rsidRPr="00C042D4">
        <w:rPr>
          <w:rStyle w:val="Lienhypertexte"/>
          <w:color w:val="auto"/>
          <w:u w:val="none"/>
          <w:lang w:val="en-US"/>
        </w:rPr>
        <w:t>Be</w:t>
      </w:r>
      <w:r>
        <w:rPr>
          <w:rStyle w:val="Lienhypertexte"/>
          <w:color w:val="auto"/>
          <w:u w:val="none"/>
          <w:lang w:val="en-US"/>
        </w:rPr>
        <w:t xml:space="preserve">nelux </w:t>
      </w:r>
      <w:r w:rsidRPr="00C042D4">
        <w:rPr>
          <w:rStyle w:val="Lienhypertexte"/>
          <w:color w:val="auto"/>
          <w:u w:val="none"/>
          <w:lang w:val="en-US"/>
        </w:rPr>
        <w:t>:</w:t>
      </w:r>
      <w:proofErr w:type="gramEnd"/>
      <w:r w:rsidRPr="00C042D4">
        <w:rPr>
          <w:rStyle w:val="Lienhypertexte"/>
          <w:color w:val="auto"/>
          <w:u w:val="none"/>
          <w:lang w:val="en-US"/>
        </w:rPr>
        <w:t xml:space="preserve"> </w:t>
      </w:r>
      <w:hyperlink r:id="rId25" w:history="1">
        <w:r w:rsidRPr="00C042D4">
          <w:rPr>
            <w:rStyle w:val="Lienhypertexte"/>
            <w:lang w:val="en-US"/>
          </w:rPr>
          <w:t>antoine.installe@totalenergies.com</w:t>
        </w:r>
      </w:hyperlink>
      <w:r w:rsidRPr="00C042D4">
        <w:rPr>
          <w:rStyle w:val="Lienhypertexte"/>
          <w:color w:val="auto"/>
          <w:lang w:val="en-US"/>
        </w:rPr>
        <w:t xml:space="preserve"> </w:t>
      </w:r>
    </w:p>
    <w:p w14:paraId="50CBE970" w14:textId="77777777" w:rsidR="00C042D4" w:rsidRPr="00C042D4" w:rsidRDefault="00C042D4" w:rsidP="004A30A8">
      <w:pPr>
        <w:contextualSpacing/>
        <w:rPr>
          <w:rStyle w:val="Lienhypertexte"/>
          <w:color w:val="auto"/>
          <w:lang w:val="en-US"/>
        </w:rPr>
      </w:pPr>
    </w:p>
    <w:p w14:paraId="637C06C1" w14:textId="77777777" w:rsidR="004A30A8" w:rsidRPr="00AC61CB" w:rsidRDefault="004A30A8" w:rsidP="004A30A8">
      <w:pPr>
        <w:contextualSpacing/>
        <w:rPr>
          <w:rStyle w:val="Rfrencelgre"/>
          <w:i w:val="0"/>
          <w:iCs w:val="0"/>
          <w:sz w:val="20"/>
          <w:szCs w:val="20"/>
          <w:lang w:val="nl-BE"/>
        </w:rPr>
      </w:pPr>
    </w:p>
    <w:p w14:paraId="48F709BA" w14:textId="77777777" w:rsidR="00AC61CB" w:rsidRPr="00075725" w:rsidRDefault="00AC61CB" w:rsidP="00AC61CB">
      <w:pPr>
        <w:rPr>
          <w:rFonts w:cs="Arial"/>
          <w:b/>
          <w:color w:val="000000"/>
          <w:lang w:val="nl-BE"/>
        </w:rPr>
      </w:pPr>
      <w:r w:rsidRPr="00075725">
        <w:rPr>
          <w:rFonts w:cs="Arial"/>
          <w:b/>
          <w:color w:val="000000"/>
          <w:lang w:val="nl-BE"/>
        </w:rPr>
        <w:t>Waarschuwing</w:t>
      </w:r>
    </w:p>
    <w:p w14:paraId="483CFE09" w14:textId="77777777" w:rsidR="00AC61CB" w:rsidRPr="00FD3F07" w:rsidRDefault="00AC61CB" w:rsidP="00AC61CB">
      <w:pPr>
        <w:contextualSpacing/>
        <w:rPr>
          <w:rStyle w:val="Rfrencelgre"/>
          <w:b/>
          <w:bCs/>
          <w:i w:val="0"/>
          <w:iCs w:val="0"/>
          <w:sz w:val="20"/>
          <w:szCs w:val="20"/>
          <w:lang w:val="nl-BE"/>
        </w:rPr>
      </w:pPr>
    </w:p>
    <w:p w14:paraId="66EA7476" w14:textId="77777777" w:rsidR="00AC61CB" w:rsidRDefault="00AC61CB" w:rsidP="00AC61CB">
      <w:pPr>
        <w:rPr>
          <w:rFonts w:cs="Arial"/>
          <w:i/>
          <w:iCs/>
          <w:sz w:val="18"/>
          <w:szCs w:val="18"/>
          <w:lang w:val="nl-BE"/>
        </w:rPr>
      </w:pPr>
      <w:r>
        <w:rPr>
          <w:rFonts w:cs="Arial"/>
          <w:i/>
          <w:iCs/>
          <w:sz w:val="18"/>
          <w:szCs w:val="18"/>
          <w:lang w:val="nl-BE"/>
        </w:rPr>
        <w:t xml:space="preserve">De </w:t>
      </w:r>
      <w:r w:rsidRPr="00B305AE">
        <w:rPr>
          <w:rFonts w:cs="Arial"/>
          <w:i/>
          <w:iCs/>
          <w:sz w:val="18"/>
          <w:szCs w:val="18"/>
          <w:lang w:val="nl-BE"/>
        </w:rPr>
        <w:t>begrippen</w:t>
      </w:r>
      <w:r>
        <w:rPr>
          <w:rFonts w:cs="Arial"/>
          <w:i/>
          <w:iCs/>
          <w:sz w:val="18"/>
          <w:szCs w:val="18"/>
          <w:lang w:val="nl-BE"/>
        </w:rPr>
        <w:t xml:space="preserve"> 'Tota</w:t>
      </w:r>
      <w:r w:rsidRPr="00B305AE">
        <w:rPr>
          <w:rFonts w:cs="Arial"/>
          <w:i/>
          <w:iCs/>
          <w:sz w:val="18"/>
          <w:szCs w:val="18"/>
          <w:lang w:val="nl-BE"/>
        </w:rPr>
        <w:t>l</w:t>
      </w:r>
      <w:r>
        <w:rPr>
          <w:rFonts w:cs="Arial"/>
          <w:i/>
          <w:iCs/>
          <w:sz w:val="18"/>
          <w:szCs w:val="18"/>
          <w:lang w:val="nl-BE"/>
        </w:rPr>
        <w:t>Energies', '</w:t>
      </w:r>
      <w:r w:rsidRPr="00BE04F3">
        <w:rPr>
          <w:rFonts w:cs="Arial"/>
          <w:i/>
          <w:iCs/>
          <w:sz w:val="18"/>
          <w:szCs w:val="18"/>
          <w:lang w:val="nl-BE"/>
        </w:rPr>
        <w:t xml:space="preserve">het bedrijf </w:t>
      </w:r>
      <w:r>
        <w:rPr>
          <w:rFonts w:cs="Arial"/>
          <w:i/>
          <w:iCs/>
          <w:sz w:val="18"/>
          <w:szCs w:val="18"/>
          <w:lang w:val="nl-BE"/>
        </w:rPr>
        <w:t>TotalEnergies' en '</w:t>
      </w:r>
      <w:r w:rsidRPr="00BE04F3">
        <w:rPr>
          <w:rFonts w:cs="Arial"/>
          <w:i/>
          <w:iCs/>
          <w:sz w:val="18"/>
          <w:szCs w:val="18"/>
          <w:lang w:val="nl-BE"/>
        </w:rPr>
        <w:t>het Bedrijf</w:t>
      </w:r>
      <w:r>
        <w:rPr>
          <w:rFonts w:cs="Arial"/>
          <w:i/>
          <w:iCs/>
          <w:sz w:val="18"/>
          <w:szCs w:val="18"/>
          <w:lang w:val="nl-BE"/>
        </w:rPr>
        <w:t xml:space="preserve">’ </w:t>
      </w:r>
      <w:r w:rsidRPr="00BE04F3">
        <w:rPr>
          <w:rFonts w:cs="Arial"/>
          <w:i/>
          <w:iCs/>
          <w:sz w:val="18"/>
          <w:szCs w:val="18"/>
          <w:lang w:val="nl-BE"/>
        </w:rPr>
        <w:t>die in dit document worden gebruikt</w:t>
      </w:r>
      <w:r>
        <w:rPr>
          <w:rFonts w:cs="Arial"/>
          <w:i/>
          <w:iCs/>
          <w:sz w:val="18"/>
          <w:szCs w:val="18"/>
          <w:lang w:val="nl-BE"/>
        </w:rPr>
        <w:t xml:space="preserve">, </w:t>
      </w:r>
      <w:r w:rsidRPr="00BE04F3">
        <w:rPr>
          <w:rFonts w:cs="Arial"/>
          <w:i/>
          <w:iCs/>
          <w:sz w:val="18"/>
          <w:szCs w:val="18"/>
          <w:lang w:val="nl-BE"/>
        </w:rPr>
        <w:t>verwijzen naar TotalEnergies SE en de geconsolideerde entiteiten die TotalEnergies SE rechtstreeks of onrechtstreeks controleert</w:t>
      </w:r>
      <w:r>
        <w:rPr>
          <w:rFonts w:cs="Arial"/>
          <w:i/>
          <w:iCs/>
          <w:sz w:val="18"/>
          <w:szCs w:val="18"/>
          <w:lang w:val="nl-BE"/>
        </w:rPr>
        <w:t xml:space="preserve">. De termen 'wij', 'ons' en 'onze' kunnen eveneens worden gebruikt om te verwijzen naar </w:t>
      </w:r>
      <w:r w:rsidRPr="00BE04F3">
        <w:rPr>
          <w:rFonts w:cs="Arial"/>
          <w:i/>
          <w:iCs/>
          <w:sz w:val="18"/>
          <w:szCs w:val="18"/>
          <w:lang w:val="nl-BE"/>
        </w:rPr>
        <w:t>deze entiteiten</w:t>
      </w:r>
      <w:r>
        <w:rPr>
          <w:rFonts w:cs="Arial"/>
          <w:i/>
          <w:iCs/>
          <w:sz w:val="18"/>
          <w:szCs w:val="18"/>
          <w:lang w:val="nl-BE"/>
        </w:rPr>
        <w:t xml:space="preserve"> of hun medewerkers. </w:t>
      </w:r>
    </w:p>
    <w:p w14:paraId="4B82C0DD" w14:textId="77777777" w:rsidR="00AC61CB" w:rsidRDefault="00AC61CB" w:rsidP="00AC61CB">
      <w:pPr>
        <w:rPr>
          <w:rFonts w:cs="Arial"/>
          <w:i/>
          <w:iCs/>
          <w:sz w:val="18"/>
          <w:szCs w:val="18"/>
          <w:lang w:val="nl-BE"/>
        </w:rPr>
      </w:pPr>
    </w:p>
    <w:p w14:paraId="722DAAA2" w14:textId="77777777" w:rsidR="00AC61CB" w:rsidRDefault="00AC61CB" w:rsidP="00AC61CB">
      <w:pPr>
        <w:rPr>
          <w:rFonts w:cs="Arial"/>
          <w:i/>
          <w:iCs/>
          <w:sz w:val="18"/>
          <w:szCs w:val="18"/>
          <w:lang w:val="nl-BE"/>
        </w:rPr>
      </w:pPr>
      <w:r>
        <w:rPr>
          <w:rFonts w:cs="Arial"/>
          <w:i/>
          <w:iCs/>
          <w:sz w:val="18"/>
          <w:szCs w:val="18"/>
          <w:lang w:val="nl-BE"/>
        </w:rPr>
        <w:t xml:space="preserve">De entiteiten waarin TotalEnergies SE een rechtstreekse of onrechtstreekse deelneming heeft, zijn afzonderlijke en </w:t>
      </w:r>
      <w:r w:rsidRPr="00BE04F3">
        <w:rPr>
          <w:rFonts w:cs="Arial"/>
          <w:i/>
          <w:iCs/>
          <w:sz w:val="18"/>
          <w:szCs w:val="18"/>
          <w:lang w:val="nl-BE"/>
        </w:rPr>
        <w:t xml:space="preserve">onafhankelijke </w:t>
      </w:r>
      <w:r>
        <w:rPr>
          <w:rFonts w:cs="Arial"/>
          <w:i/>
          <w:iCs/>
          <w:sz w:val="18"/>
          <w:szCs w:val="18"/>
          <w:lang w:val="nl-BE"/>
        </w:rPr>
        <w:t>rechtspersonen.</w:t>
      </w:r>
    </w:p>
    <w:p w14:paraId="5CF80C93" w14:textId="77777777" w:rsidR="00AC61CB" w:rsidRDefault="00AC61CB" w:rsidP="00AC61CB">
      <w:pPr>
        <w:rPr>
          <w:rFonts w:cs="Arial"/>
          <w:i/>
          <w:iCs/>
          <w:sz w:val="18"/>
          <w:szCs w:val="18"/>
          <w:lang w:val="nl-BE"/>
        </w:rPr>
      </w:pPr>
    </w:p>
    <w:p w14:paraId="330749D5" w14:textId="77777777" w:rsidR="00AC61CB" w:rsidRDefault="00AC61CB" w:rsidP="00AC61CB">
      <w:pPr>
        <w:rPr>
          <w:rFonts w:cs="Arial"/>
          <w:i/>
          <w:iCs/>
          <w:sz w:val="18"/>
          <w:szCs w:val="18"/>
          <w:lang w:val="nl-BE"/>
        </w:rPr>
      </w:pPr>
      <w:r>
        <w:rPr>
          <w:rFonts w:cs="Arial"/>
          <w:i/>
          <w:iCs/>
          <w:sz w:val="18"/>
          <w:szCs w:val="18"/>
          <w:lang w:val="nl-BE"/>
        </w:rPr>
        <w:t xml:space="preserve">Dit document kan </w:t>
      </w:r>
      <w:r w:rsidRPr="00BE04F3">
        <w:rPr>
          <w:rFonts w:cs="Arial"/>
          <w:i/>
          <w:iCs/>
          <w:sz w:val="18"/>
          <w:szCs w:val="18"/>
          <w:lang w:val="nl-BE"/>
        </w:rPr>
        <w:t>toekomstgerichte</w:t>
      </w:r>
      <w:r>
        <w:rPr>
          <w:rFonts w:cs="Arial"/>
          <w:i/>
          <w:iCs/>
          <w:sz w:val="18"/>
          <w:szCs w:val="18"/>
          <w:lang w:val="nl-BE"/>
        </w:rPr>
        <w:t xml:space="preserve"> verklaringen bevatten. Deze kunnen in de toekomst </w:t>
      </w:r>
      <w:r w:rsidRPr="00BE04F3">
        <w:rPr>
          <w:rFonts w:cs="Arial"/>
          <w:i/>
          <w:iCs/>
          <w:sz w:val="18"/>
          <w:szCs w:val="18"/>
          <w:lang w:val="nl-BE"/>
        </w:rPr>
        <w:t>onnauwkeurig</w:t>
      </w:r>
      <w:r>
        <w:rPr>
          <w:rFonts w:cs="Arial"/>
          <w:i/>
          <w:iCs/>
          <w:sz w:val="18"/>
          <w:szCs w:val="18"/>
          <w:lang w:val="nl-BE"/>
        </w:rPr>
        <w:t xml:space="preserve"> blijken te zijn en zijn afhankelijk van risicofactoren. </w:t>
      </w:r>
      <w:r w:rsidRPr="00BE04F3">
        <w:rPr>
          <w:rFonts w:cs="Arial"/>
          <w:i/>
          <w:iCs/>
          <w:sz w:val="18"/>
          <w:szCs w:val="18"/>
          <w:lang w:val="nl-BE"/>
        </w:rPr>
        <w:t xml:space="preserve">Noch </w:t>
      </w:r>
      <w:r>
        <w:rPr>
          <w:rFonts w:cs="Arial"/>
          <w:i/>
          <w:iCs/>
          <w:sz w:val="18"/>
          <w:szCs w:val="18"/>
          <w:lang w:val="nl-BE"/>
        </w:rPr>
        <w:t>TotalEnergies SE</w:t>
      </w:r>
      <w:r w:rsidRPr="00BE04F3">
        <w:rPr>
          <w:rFonts w:cs="Arial"/>
          <w:i/>
          <w:iCs/>
          <w:sz w:val="18"/>
          <w:szCs w:val="18"/>
          <w:lang w:val="nl-BE"/>
        </w:rPr>
        <w:t>, noch enige van</w:t>
      </w:r>
      <w:r>
        <w:rPr>
          <w:rFonts w:cs="Arial"/>
          <w:i/>
          <w:iCs/>
          <w:sz w:val="18"/>
          <w:szCs w:val="18"/>
          <w:lang w:val="nl-BE"/>
        </w:rPr>
        <w:t xml:space="preserve"> haar dochterondernemingen </w:t>
      </w:r>
      <w:r w:rsidRPr="00BE04F3">
        <w:rPr>
          <w:rFonts w:cs="Arial"/>
          <w:i/>
          <w:iCs/>
          <w:sz w:val="18"/>
          <w:szCs w:val="18"/>
          <w:lang w:val="nl-BE"/>
        </w:rPr>
        <w:t>neemt enige verplichting of verantwoordelijkheid op zich ten aanzien van beleggers of enige andere belanghebbende om enige van de verklaringen, toekomstgerichte informatie, tendensen of doelstellingen in dit document bij te werken of te herzien, in het bijzonder als gevolg van nieuwe informatie of toekomstige gebeurtenissen.</w:t>
      </w:r>
    </w:p>
    <w:p w14:paraId="39A82F78" w14:textId="77777777" w:rsidR="00AC61CB" w:rsidRDefault="00AC61CB" w:rsidP="00AC61CB">
      <w:pPr>
        <w:rPr>
          <w:rFonts w:cs="Arial"/>
          <w:i/>
          <w:iCs/>
          <w:sz w:val="18"/>
          <w:szCs w:val="18"/>
          <w:lang w:val="nl-BE"/>
        </w:rPr>
      </w:pPr>
    </w:p>
    <w:p w14:paraId="0431E630" w14:textId="77777777" w:rsidR="00AC61CB" w:rsidRDefault="00AC61CB" w:rsidP="00AC61CB">
      <w:pPr>
        <w:rPr>
          <w:rFonts w:cs="Arial"/>
          <w:i/>
          <w:iCs/>
          <w:sz w:val="18"/>
          <w:szCs w:val="18"/>
          <w:lang w:val="nl-BE"/>
        </w:rPr>
      </w:pPr>
      <w:r w:rsidRPr="00BE04F3">
        <w:rPr>
          <w:rFonts w:cs="Arial"/>
          <w:i/>
          <w:iCs/>
          <w:sz w:val="18"/>
          <w:szCs w:val="18"/>
          <w:lang w:val="nl-BE"/>
        </w:rPr>
        <w:t>Informatie over risicofactoren die een wezenlijk nadelig effect zouden kunnen hebben op de financiële resultaten of activiteiten van TotalEnergies is ook beschikbaar in de meest recente versies van het Universele Registratiedocument dat door TotalEnergies SE is ingediend bij de Franse Autoriteit voor Financiële Markten (</w:t>
      </w:r>
      <w:proofErr w:type="spellStart"/>
      <w:r w:rsidRPr="00BE04F3">
        <w:rPr>
          <w:rFonts w:cs="Arial"/>
          <w:i/>
          <w:iCs/>
          <w:sz w:val="18"/>
          <w:szCs w:val="18"/>
          <w:lang w:val="nl-BE"/>
        </w:rPr>
        <w:t>l’Autorité</w:t>
      </w:r>
      <w:proofErr w:type="spellEnd"/>
      <w:r w:rsidRPr="00BE04F3">
        <w:rPr>
          <w:rFonts w:cs="Arial"/>
          <w:i/>
          <w:iCs/>
          <w:sz w:val="18"/>
          <w:szCs w:val="18"/>
          <w:lang w:val="nl-BE"/>
        </w:rPr>
        <w:t xml:space="preserve"> des </w:t>
      </w:r>
      <w:proofErr w:type="spellStart"/>
      <w:r w:rsidRPr="00BE04F3">
        <w:rPr>
          <w:rFonts w:cs="Arial"/>
          <w:i/>
          <w:iCs/>
          <w:sz w:val="18"/>
          <w:szCs w:val="18"/>
          <w:lang w:val="nl-BE"/>
        </w:rPr>
        <w:t>Marchés</w:t>
      </w:r>
      <w:proofErr w:type="spellEnd"/>
      <w:r w:rsidRPr="00BE04F3">
        <w:rPr>
          <w:rFonts w:cs="Arial"/>
          <w:i/>
          <w:iCs/>
          <w:sz w:val="18"/>
          <w:szCs w:val="18"/>
          <w:lang w:val="nl-BE"/>
        </w:rPr>
        <w:t xml:space="preserve"> Financiers), gelijkaardig instituut als de FSMA (Autoriteit voor Financiële Diensten en Markten) in België,  en het Formulier 20-F dat is ingediend bij de </w:t>
      </w:r>
      <w:proofErr w:type="spellStart"/>
      <w:r w:rsidRPr="00BE04F3">
        <w:rPr>
          <w:rFonts w:cs="Arial"/>
          <w:i/>
          <w:iCs/>
          <w:sz w:val="18"/>
          <w:szCs w:val="18"/>
          <w:lang w:val="nl-BE"/>
        </w:rPr>
        <w:t>Securities</w:t>
      </w:r>
      <w:proofErr w:type="spellEnd"/>
      <w:r w:rsidRPr="00BE04F3">
        <w:rPr>
          <w:rFonts w:cs="Arial"/>
          <w:i/>
          <w:iCs/>
          <w:sz w:val="18"/>
          <w:szCs w:val="18"/>
          <w:lang w:val="nl-BE"/>
        </w:rPr>
        <w:t xml:space="preserve"> </w:t>
      </w:r>
      <w:proofErr w:type="spellStart"/>
      <w:r w:rsidRPr="00BE04F3">
        <w:rPr>
          <w:rFonts w:cs="Arial"/>
          <w:i/>
          <w:iCs/>
          <w:sz w:val="18"/>
          <w:szCs w:val="18"/>
          <w:lang w:val="nl-BE"/>
        </w:rPr>
        <w:t>and</w:t>
      </w:r>
      <w:proofErr w:type="spellEnd"/>
      <w:r w:rsidRPr="00BE04F3">
        <w:rPr>
          <w:rFonts w:cs="Arial"/>
          <w:i/>
          <w:iCs/>
          <w:sz w:val="18"/>
          <w:szCs w:val="18"/>
          <w:lang w:val="nl-BE"/>
        </w:rPr>
        <w:t xml:space="preserve"> Exchange </w:t>
      </w:r>
      <w:proofErr w:type="spellStart"/>
      <w:r w:rsidRPr="00BE04F3">
        <w:rPr>
          <w:rFonts w:cs="Arial"/>
          <w:i/>
          <w:iCs/>
          <w:sz w:val="18"/>
          <w:szCs w:val="18"/>
          <w:lang w:val="nl-BE"/>
        </w:rPr>
        <w:t>Commission</w:t>
      </w:r>
      <w:proofErr w:type="spellEnd"/>
      <w:r w:rsidRPr="00BE04F3">
        <w:rPr>
          <w:rFonts w:cs="Arial"/>
          <w:i/>
          <w:iCs/>
          <w:sz w:val="18"/>
          <w:szCs w:val="18"/>
          <w:lang w:val="nl-BE"/>
        </w:rPr>
        <w:t xml:space="preserve"> ("SEC") van de Verenigde Staten</w:t>
      </w:r>
      <w:r>
        <w:rPr>
          <w:rFonts w:cs="Arial"/>
          <w:i/>
          <w:iCs/>
          <w:sz w:val="18"/>
          <w:szCs w:val="18"/>
          <w:lang w:val="nl-BE"/>
        </w:rPr>
        <w:t>.</w:t>
      </w:r>
    </w:p>
    <w:p w14:paraId="6F737402" w14:textId="77777777" w:rsidR="004A30A8" w:rsidRPr="00AC61CB" w:rsidRDefault="004A30A8" w:rsidP="00AC61CB">
      <w:pPr>
        <w:contextualSpacing/>
        <w:rPr>
          <w:rStyle w:val="Rfrencelgre"/>
          <w:sz w:val="20"/>
          <w:szCs w:val="20"/>
          <w:lang w:val="nl-BE"/>
        </w:rPr>
      </w:pPr>
    </w:p>
    <w:sectPr w:rsidR="004A30A8" w:rsidRPr="00AC61CB" w:rsidSect="00BE3ECE">
      <w:headerReference w:type="first" r:id="rId26"/>
      <w:pgSz w:w="11906" w:h="16838"/>
      <w:pgMar w:top="1804" w:right="1418" w:bottom="8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3E2A" w14:textId="77777777" w:rsidR="00645CAE" w:rsidRDefault="00645CAE" w:rsidP="000C0E7E">
      <w:r>
        <w:separator/>
      </w:r>
    </w:p>
  </w:endnote>
  <w:endnote w:type="continuationSeparator" w:id="0">
    <w:p w14:paraId="786FBB13" w14:textId="77777777" w:rsidR="00645CAE" w:rsidRDefault="00645CAE" w:rsidP="000C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Open Sans">
    <w:altName w:val="Open Sans"/>
    <w:charset w:val="00"/>
    <w:family w:val="swiss"/>
    <w:pitch w:val="variable"/>
    <w:sig w:usb0="E00002EF" w:usb1="4000205B" w:usb2="00000028" w:usb3="00000000" w:csb0="0000019F" w:csb1="00000000"/>
  </w:font>
  <w:font w:name="Gotham Rounded Light">
    <w:altName w:val="Calibri"/>
    <w:panose1 w:val="00000000000000000000"/>
    <w:charset w:val="00"/>
    <w:family w:val="modern"/>
    <w:notTrueType/>
    <w:pitch w:val="variable"/>
    <w:sig w:usb0="A000007F" w:usb1="0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D5A5" w14:textId="77777777" w:rsidR="00645CAE" w:rsidRDefault="00645CAE" w:rsidP="000C0E7E">
      <w:r>
        <w:separator/>
      </w:r>
    </w:p>
  </w:footnote>
  <w:footnote w:type="continuationSeparator" w:id="0">
    <w:p w14:paraId="73DA9BE8" w14:textId="77777777" w:rsidR="00645CAE" w:rsidRDefault="00645CAE" w:rsidP="000C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41F7" w14:textId="42A922DA" w:rsidR="008A17EB" w:rsidRPr="000C0E7E" w:rsidRDefault="004A30A8" w:rsidP="007714DA">
    <w:pPr>
      <w:pStyle w:val="En-tte"/>
      <w:contextualSpacing/>
      <w:rPr>
        <w:rFonts w:ascii="Gotham Rounded Light" w:hAnsi="Gotham Rounded Light"/>
        <w:color w:val="497D91" w:themeColor="accent2"/>
        <w:sz w:val="32"/>
        <w:szCs w:val="32"/>
      </w:rPr>
    </w:pPr>
    <w:r w:rsidRPr="00AA3190">
      <w:rPr>
        <w:rFonts w:ascii="Times New Roman"/>
        <w:noProof/>
        <w:lang w:val="en-GB"/>
      </w:rPr>
      <w:drawing>
        <wp:anchor distT="0" distB="0" distL="114300" distR="114300" simplePos="0" relativeHeight="251664384" behindDoc="0" locked="0" layoutInCell="1" allowOverlap="1" wp14:anchorId="02679AE6" wp14:editId="1C7BD8FD">
          <wp:simplePos x="0" y="0"/>
          <wp:positionH relativeFrom="margin">
            <wp:align>right</wp:align>
          </wp:positionH>
          <wp:positionV relativeFrom="paragraph">
            <wp:posOffset>8890</wp:posOffset>
          </wp:positionV>
          <wp:extent cx="2143125" cy="854710"/>
          <wp:effectExtent l="0" t="0" r="9525" b="254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extLst>
                      <a:ext uri="{28A0092B-C50C-407E-A947-70E740481C1C}">
                        <a14:useLocalDpi xmlns:a14="http://schemas.microsoft.com/office/drawing/2010/main" val="0"/>
                      </a:ext>
                    </a:extLst>
                  </a:blip>
                  <a:srcRect r="2737"/>
                  <a:stretch/>
                </pic:blipFill>
                <pic:spPr bwMode="auto">
                  <a:xfrm>
                    <a:off x="0" y="0"/>
                    <a:ext cx="2143125" cy="8547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anchor>
      </w:drawing>
    </w:r>
    <w:r w:rsidR="00F57465">
      <w:rPr>
        <w:rFonts w:ascii="Gotham Rounded Light" w:hAnsi="Gotham Rounded Light"/>
        <w:noProof/>
        <w:color w:val="497D91" w:themeColor="accent2"/>
        <w:sz w:val="32"/>
        <w:szCs w:val="32"/>
      </w:rPr>
      <w:drawing>
        <wp:anchor distT="0" distB="0" distL="114300" distR="114300" simplePos="0" relativeHeight="251662336" behindDoc="0" locked="0" layoutInCell="1" allowOverlap="1" wp14:anchorId="4C4842B3" wp14:editId="4012E739">
          <wp:simplePos x="0" y="0"/>
          <wp:positionH relativeFrom="column">
            <wp:posOffset>-144145</wp:posOffset>
          </wp:positionH>
          <wp:positionV relativeFrom="paragraph">
            <wp:posOffset>-144145</wp:posOffset>
          </wp:positionV>
          <wp:extent cx="1710000" cy="135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710000" cy="1350000"/>
                  </a:xfrm>
                  <a:prstGeom prst="rect">
                    <a:avLst/>
                  </a:prstGeom>
                </pic:spPr>
              </pic:pic>
            </a:graphicData>
          </a:graphic>
          <wp14:sizeRelH relativeFrom="page">
            <wp14:pctWidth>0</wp14:pctWidth>
          </wp14:sizeRelH>
          <wp14:sizeRelV relativeFrom="page">
            <wp14:pctHeight>0</wp14:pctHeight>
          </wp14:sizeRelV>
        </wp:anchor>
      </w:drawing>
    </w:r>
  </w:p>
  <w:p w14:paraId="19D274A7" w14:textId="2ED52996" w:rsidR="008A17EB" w:rsidRDefault="008A17EB" w:rsidP="007714DA">
    <w:pPr>
      <w:pStyle w:val="En-tte"/>
      <w:contextualSpacing/>
    </w:pPr>
  </w:p>
  <w:p w14:paraId="39D1EEEE" w14:textId="22729774" w:rsidR="008A17EB" w:rsidRDefault="008A17EB" w:rsidP="007714DA">
    <w:pPr>
      <w:pStyle w:val="En-tte"/>
      <w:contextualSpacing/>
    </w:pPr>
  </w:p>
  <w:p w14:paraId="45C7E625" w14:textId="5AC116F3" w:rsidR="008A17EB" w:rsidRDefault="008A17EB" w:rsidP="007714DA">
    <w:pPr>
      <w:pStyle w:val="En-tte"/>
      <w:contextualSpacing/>
    </w:pPr>
  </w:p>
  <w:p w14:paraId="20D4F06F" w14:textId="77777777" w:rsidR="008A17EB" w:rsidRDefault="008A17EB" w:rsidP="007714DA">
    <w:pPr>
      <w:pStyle w:val="En-tte"/>
      <w:contextualSpacing/>
    </w:pPr>
  </w:p>
  <w:p w14:paraId="2418A7BF" w14:textId="77777777" w:rsidR="00F57465" w:rsidRDefault="00F57465" w:rsidP="007714DA">
    <w:pPr>
      <w:pStyle w:val="Titre3"/>
      <w:spacing w:after="0"/>
      <w:contextualSpacing/>
      <w:rPr>
        <w:rFonts w:asciiTheme="minorHAnsi" w:hAnsiTheme="minorHAnsi" w:cstheme="minorHAnsi"/>
        <w:sz w:val="30"/>
        <w:szCs w:val="30"/>
      </w:rPr>
    </w:pPr>
  </w:p>
  <w:p w14:paraId="60E8008F" w14:textId="77777777" w:rsidR="007714DA" w:rsidRDefault="007714DA" w:rsidP="007714DA"/>
  <w:p w14:paraId="3F6A544D" w14:textId="77777777" w:rsidR="007714DA" w:rsidRPr="007714DA" w:rsidRDefault="007714DA" w:rsidP="007714DA"/>
  <w:p w14:paraId="0419991D" w14:textId="77777777" w:rsidR="00BC2287" w:rsidRDefault="00BC2287" w:rsidP="007714DA">
    <w:pPr>
      <w:pStyle w:val="En-tte"/>
      <w:contextualSpacing/>
      <w:rPr>
        <w:b/>
        <w:bCs/>
        <w:sz w:val="28"/>
        <w:szCs w:val="28"/>
      </w:rPr>
    </w:pPr>
    <w:r>
      <w:rPr>
        <w:b/>
        <w:bCs/>
        <w:sz w:val="28"/>
        <w:szCs w:val="28"/>
      </w:rPr>
      <w:t>TotalEnergies Aviation</w:t>
    </w:r>
  </w:p>
  <w:p w14:paraId="3D8A9C76" w14:textId="77777777" w:rsidR="00BC2287" w:rsidRDefault="007714DA" w:rsidP="007714DA">
    <w:pPr>
      <w:pStyle w:val="En-tte"/>
      <w:contextualSpacing/>
      <w:rPr>
        <w:b/>
        <w:bCs/>
        <w:sz w:val="28"/>
        <w:szCs w:val="28"/>
      </w:rPr>
    </w:pPr>
    <w:r>
      <w:rPr>
        <w:b/>
        <w:bCs/>
        <w:sz w:val="28"/>
        <w:szCs w:val="28"/>
      </w:rPr>
      <w:tab/>
    </w:r>
    <w:r>
      <w:rPr>
        <w:b/>
        <w:bCs/>
        <w:sz w:val="28"/>
        <w:szCs w:val="28"/>
      </w:rPr>
      <w:tab/>
    </w:r>
  </w:p>
  <w:p w14:paraId="6D30EC74" w14:textId="5E8D7E7E" w:rsidR="00BE3ECE" w:rsidRDefault="003B4BE4" w:rsidP="00BC2287">
    <w:pPr>
      <w:pStyle w:val="En-tte"/>
      <w:contextualSpacing/>
      <w:jc w:val="right"/>
      <w:rPr>
        <w:color w:val="374649"/>
        <w:sz w:val="30"/>
        <w:szCs w:val="30"/>
      </w:rPr>
    </w:pPr>
    <w:r>
      <w:rPr>
        <w:color w:val="374649"/>
        <w:sz w:val="32"/>
        <w:szCs w:val="32"/>
      </w:rPr>
      <w:t>PERSBERICHT</w:t>
    </w:r>
  </w:p>
  <w:p w14:paraId="08EC2038" w14:textId="77777777" w:rsidR="007714DA" w:rsidRDefault="007714DA" w:rsidP="007714DA">
    <w:pPr>
      <w:pStyle w:val="En-tte"/>
      <w:contextualSpacing/>
      <w:rPr>
        <w:color w:val="374649"/>
        <w:sz w:val="30"/>
        <w:szCs w:val="30"/>
      </w:rPr>
    </w:pPr>
  </w:p>
  <w:p w14:paraId="659CC468" w14:textId="77777777" w:rsidR="007714DA" w:rsidRPr="007714DA" w:rsidRDefault="007714DA" w:rsidP="007714DA">
    <w:pPr>
      <w:pStyle w:val="En-tte"/>
      <w:contextualSpacing/>
      <w:rPr>
        <w:b/>
        <w:b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7F0"/>
    <w:multiLevelType w:val="multilevel"/>
    <w:tmpl w:val="22B4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752D"/>
    <w:multiLevelType w:val="multilevel"/>
    <w:tmpl w:val="43C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87"/>
    <w:rsid w:val="00000B14"/>
    <w:rsid w:val="00001082"/>
    <w:rsid w:val="00006A6D"/>
    <w:rsid w:val="00007F0E"/>
    <w:rsid w:val="00017962"/>
    <w:rsid w:val="0002217B"/>
    <w:rsid w:val="00030EEE"/>
    <w:rsid w:val="00036D9A"/>
    <w:rsid w:val="0004063C"/>
    <w:rsid w:val="00047322"/>
    <w:rsid w:val="00054845"/>
    <w:rsid w:val="00070BDC"/>
    <w:rsid w:val="000716E4"/>
    <w:rsid w:val="00082AE4"/>
    <w:rsid w:val="000878D8"/>
    <w:rsid w:val="000A0D27"/>
    <w:rsid w:val="000C0E7E"/>
    <w:rsid w:val="001037EA"/>
    <w:rsid w:val="00107A4D"/>
    <w:rsid w:val="00115D87"/>
    <w:rsid w:val="001420CD"/>
    <w:rsid w:val="00147783"/>
    <w:rsid w:val="00167988"/>
    <w:rsid w:val="001A456A"/>
    <w:rsid w:val="001B2567"/>
    <w:rsid w:val="001B6080"/>
    <w:rsid w:val="001C17C5"/>
    <w:rsid w:val="001E0B80"/>
    <w:rsid w:val="001F117C"/>
    <w:rsid w:val="001F7F13"/>
    <w:rsid w:val="00205760"/>
    <w:rsid w:val="00210B68"/>
    <w:rsid w:val="0021759F"/>
    <w:rsid w:val="00230D86"/>
    <w:rsid w:val="002463EB"/>
    <w:rsid w:val="00270D09"/>
    <w:rsid w:val="00271EC9"/>
    <w:rsid w:val="00272EC1"/>
    <w:rsid w:val="00274700"/>
    <w:rsid w:val="00280961"/>
    <w:rsid w:val="002A6CAF"/>
    <w:rsid w:val="002B0887"/>
    <w:rsid w:val="002B545E"/>
    <w:rsid w:val="002B76DA"/>
    <w:rsid w:val="002C286E"/>
    <w:rsid w:val="002D08BA"/>
    <w:rsid w:val="002F59D1"/>
    <w:rsid w:val="00304B4E"/>
    <w:rsid w:val="00322FE7"/>
    <w:rsid w:val="003369FE"/>
    <w:rsid w:val="00341CF6"/>
    <w:rsid w:val="00345269"/>
    <w:rsid w:val="00345444"/>
    <w:rsid w:val="00345B56"/>
    <w:rsid w:val="00360B77"/>
    <w:rsid w:val="00365428"/>
    <w:rsid w:val="00365C9A"/>
    <w:rsid w:val="00370F40"/>
    <w:rsid w:val="003A52AE"/>
    <w:rsid w:val="003B0B44"/>
    <w:rsid w:val="003B3D6C"/>
    <w:rsid w:val="003B4BE4"/>
    <w:rsid w:val="003B591B"/>
    <w:rsid w:val="003B6F69"/>
    <w:rsid w:val="003C015A"/>
    <w:rsid w:val="003C12C1"/>
    <w:rsid w:val="003C54FA"/>
    <w:rsid w:val="003D0214"/>
    <w:rsid w:val="003D35AE"/>
    <w:rsid w:val="00412108"/>
    <w:rsid w:val="00424ED4"/>
    <w:rsid w:val="00432955"/>
    <w:rsid w:val="00460F86"/>
    <w:rsid w:val="00461303"/>
    <w:rsid w:val="00472B18"/>
    <w:rsid w:val="00477680"/>
    <w:rsid w:val="00477F0D"/>
    <w:rsid w:val="0048381B"/>
    <w:rsid w:val="004A30A8"/>
    <w:rsid w:val="004A32A2"/>
    <w:rsid w:val="004A58F5"/>
    <w:rsid w:val="004B44C6"/>
    <w:rsid w:val="004E25D9"/>
    <w:rsid w:val="004F52BB"/>
    <w:rsid w:val="005136CA"/>
    <w:rsid w:val="00544983"/>
    <w:rsid w:val="00547726"/>
    <w:rsid w:val="00565E00"/>
    <w:rsid w:val="00597B71"/>
    <w:rsid w:val="005B24BD"/>
    <w:rsid w:val="005B5E33"/>
    <w:rsid w:val="005C6931"/>
    <w:rsid w:val="005E3A67"/>
    <w:rsid w:val="005F7665"/>
    <w:rsid w:val="00602377"/>
    <w:rsid w:val="00615511"/>
    <w:rsid w:val="00617927"/>
    <w:rsid w:val="00620538"/>
    <w:rsid w:val="00622751"/>
    <w:rsid w:val="00645CAE"/>
    <w:rsid w:val="0065615E"/>
    <w:rsid w:val="00696D2A"/>
    <w:rsid w:val="006D0056"/>
    <w:rsid w:val="006D236B"/>
    <w:rsid w:val="006D3E8F"/>
    <w:rsid w:val="006D4DC8"/>
    <w:rsid w:val="00700CA0"/>
    <w:rsid w:val="007024B8"/>
    <w:rsid w:val="00702A12"/>
    <w:rsid w:val="00703206"/>
    <w:rsid w:val="00707A03"/>
    <w:rsid w:val="007100A2"/>
    <w:rsid w:val="00716195"/>
    <w:rsid w:val="00716940"/>
    <w:rsid w:val="00745D06"/>
    <w:rsid w:val="00757ECB"/>
    <w:rsid w:val="00763ACF"/>
    <w:rsid w:val="00763EDD"/>
    <w:rsid w:val="0076444C"/>
    <w:rsid w:val="007714DA"/>
    <w:rsid w:val="00796D5D"/>
    <w:rsid w:val="007A2143"/>
    <w:rsid w:val="0080053E"/>
    <w:rsid w:val="008067D4"/>
    <w:rsid w:val="00811E7E"/>
    <w:rsid w:val="00822D97"/>
    <w:rsid w:val="00823DB7"/>
    <w:rsid w:val="00830434"/>
    <w:rsid w:val="008566D0"/>
    <w:rsid w:val="00892F5E"/>
    <w:rsid w:val="008A1595"/>
    <w:rsid w:val="008A17EB"/>
    <w:rsid w:val="008A6CED"/>
    <w:rsid w:val="008B3AEE"/>
    <w:rsid w:val="008E3A03"/>
    <w:rsid w:val="008E6FE2"/>
    <w:rsid w:val="008F500F"/>
    <w:rsid w:val="009033A5"/>
    <w:rsid w:val="009144AD"/>
    <w:rsid w:val="00921F27"/>
    <w:rsid w:val="00931872"/>
    <w:rsid w:val="00942C03"/>
    <w:rsid w:val="0094389E"/>
    <w:rsid w:val="00947005"/>
    <w:rsid w:val="00953F88"/>
    <w:rsid w:val="0096167B"/>
    <w:rsid w:val="00962F29"/>
    <w:rsid w:val="00966106"/>
    <w:rsid w:val="009828A5"/>
    <w:rsid w:val="009A6263"/>
    <w:rsid w:val="009B53C0"/>
    <w:rsid w:val="00A17F93"/>
    <w:rsid w:val="00A20955"/>
    <w:rsid w:val="00A37261"/>
    <w:rsid w:val="00A47F7A"/>
    <w:rsid w:val="00A52352"/>
    <w:rsid w:val="00A700E8"/>
    <w:rsid w:val="00A70962"/>
    <w:rsid w:val="00A73AFB"/>
    <w:rsid w:val="00A90C1A"/>
    <w:rsid w:val="00A971A9"/>
    <w:rsid w:val="00AC4BB5"/>
    <w:rsid w:val="00AC61CB"/>
    <w:rsid w:val="00AF065B"/>
    <w:rsid w:val="00AF0A34"/>
    <w:rsid w:val="00B0536E"/>
    <w:rsid w:val="00B17761"/>
    <w:rsid w:val="00B23950"/>
    <w:rsid w:val="00B33165"/>
    <w:rsid w:val="00B35369"/>
    <w:rsid w:val="00B36A44"/>
    <w:rsid w:val="00B36ED5"/>
    <w:rsid w:val="00B66642"/>
    <w:rsid w:val="00B833EF"/>
    <w:rsid w:val="00B83F0F"/>
    <w:rsid w:val="00B94729"/>
    <w:rsid w:val="00BB530F"/>
    <w:rsid w:val="00BC2287"/>
    <w:rsid w:val="00BC3C14"/>
    <w:rsid w:val="00BD2466"/>
    <w:rsid w:val="00BE3ECE"/>
    <w:rsid w:val="00BF76FA"/>
    <w:rsid w:val="00C01F32"/>
    <w:rsid w:val="00C042D4"/>
    <w:rsid w:val="00C0763A"/>
    <w:rsid w:val="00C2313F"/>
    <w:rsid w:val="00C3693F"/>
    <w:rsid w:val="00C37F45"/>
    <w:rsid w:val="00C56017"/>
    <w:rsid w:val="00C56E9E"/>
    <w:rsid w:val="00C662EA"/>
    <w:rsid w:val="00CA3505"/>
    <w:rsid w:val="00CE0976"/>
    <w:rsid w:val="00CE0A5E"/>
    <w:rsid w:val="00CF3341"/>
    <w:rsid w:val="00D016F0"/>
    <w:rsid w:val="00D11D8C"/>
    <w:rsid w:val="00D33D52"/>
    <w:rsid w:val="00D437D7"/>
    <w:rsid w:val="00D82C6B"/>
    <w:rsid w:val="00D93047"/>
    <w:rsid w:val="00DA33E1"/>
    <w:rsid w:val="00DA57F0"/>
    <w:rsid w:val="00DB5D61"/>
    <w:rsid w:val="00DB7AEC"/>
    <w:rsid w:val="00DC780D"/>
    <w:rsid w:val="00DF6D4E"/>
    <w:rsid w:val="00E153EC"/>
    <w:rsid w:val="00E22FD6"/>
    <w:rsid w:val="00E503F2"/>
    <w:rsid w:val="00E57F93"/>
    <w:rsid w:val="00E60341"/>
    <w:rsid w:val="00E63601"/>
    <w:rsid w:val="00E95CF5"/>
    <w:rsid w:val="00EA5790"/>
    <w:rsid w:val="00EF514D"/>
    <w:rsid w:val="00EF5836"/>
    <w:rsid w:val="00F016F1"/>
    <w:rsid w:val="00F02BE8"/>
    <w:rsid w:val="00F107DD"/>
    <w:rsid w:val="00F16841"/>
    <w:rsid w:val="00F2191E"/>
    <w:rsid w:val="00F32D7C"/>
    <w:rsid w:val="00F37492"/>
    <w:rsid w:val="00F57465"/>
    <w:rsid w:val="00F62F4D"/>
    <w:rsid w:val="00F71129"/>
    <w:rsid w:val="00F76F9D"/>
    <w:rsid w:val="00F81D08"/>
    <w:rsid w:val="00F9167F"/>
    <w:rsid w:val="00FA460D"/>
    <w:rsid w:val="00FB1B53"/>
    <w:rsid w:val="00FB1F95"/>
    <w:rsid w:val="00FB3A5E"/>
    <w:rsid w:val="00FC459E"/>
    <w:rsid w:val="00FD1B36"/>
    <w:rsid w:val="00FE46B4"/>
    <w:rsid w:val="00FF1229"/>
    <w:rsid w:val="00FF15F5"/>
    <w:rsid w:val="00FF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3800"/>
  <w15:chartTrackingRefBased/>
  <w15:docId w15:val="{E0F31CF2-3292-41BC-BD20-52B2E82A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7E"/>
    <w:pPr>
      <w:jc w:val="both"/>
    </w:pPr>
    <w:rPr>
      <w:sz w:val="20"/>
      <w:szCs w:val="20"/>
    </w:rPr>
  </w:style>
  <w:style w:type="paragraph" w:styleId="Titre1">
    <w:name w:val="heading 1"/>
    <w:basedOn w:val="Normal"/>
    <w:next w:val="Normal"/>
    <w:link w:val="Titre1Car"/>
    <w:uiPriority w:val="9"/>
    <w:qFormat/>
    <w:rsid w:val="000C0E7E"/>
    <w:pPr>
      <w:outlineLvl w:val="0"/>
    </w:pPr>
    <w:rPr>
      <w:b/>
      <w:bCs/>
      <w:sz w:val="28"/>
      <w:szCs w:val="28"/>
    </w:rPr>
  </w:style>
  <w:style w:type="paragraph" w:styleId="Titre2">
    <w:name w:val="heading 2"/>
    <w:basedOn w:val="Normal"/>
    <w:next w:val="Normal"/>
    <w:link w:val="Titre2Car"/>
    <w:uiPriority w:val="9"/>
    <w:unhideWhenUsed/>
    <w:qFormat/>
    <w:rsid w:val="000C0E7E"/>
    <w:pPr>
      <w:spacing w:before="60" w:after="60"/>
      <w:outlineLvl w:val="1"/>
    </w:pPr>
    <w:rPr>
      <w:b/>
      <w:bCs/>
    </w:rPr>
  </w:style>
  <w:style w:type="paragraph" w:styleId="Titre3">
    <w:name w:val="heading 3"/>
    <w:basedOn w:val="En-tte"/>
    <w:next w:val="Normal"/>
    <w:link w:val="Titre3Car"/>
    <w:uiPriority w:val="9"/>
    <w:unhideWhenUsed/>
    <w:qFormat/>
    <w:rsid w:val="001C17C5"/>
    <w:pPr>
      <w:tabs>
        <w:tab w:val="clear" w:pos="4536"/>
        <w:tab w:val="center" w:pos="1106"/>
      </w:tabs>
      <w:spacing w:after="480"/>
      <w:jc w:val="left"/>
      <w:outlineLvl w:val="2"/>
    </w:pPr>
    <w:rPr>
      <w:rFonts w:ascii="Gotham Book" w:hAnsi="Gotham Book"/>
      <w:color w:val="FF0000" w:themeColor="accent1"/>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basedOn w:val="Policepardfaut"/>
    <w:link w:val="Titre1"/>
    <w:uiPriority w:val="9"/>
    <w:rsid w:val="000C0E7E"/>
    <w:rPr>
      <w:b/>
      <w:bCs/>
      <w:sz w:val="28"/>
      <w:szCs w:val="28"/>
    </w:rPr>
  </w:style>
  <w:style w:type="character" w:customStyle="1" w:styleId="Titre2Car">
    <w:name w:val="Titre 2 Car"/>
    <w:basedOn w:val="Policepardfaut"/>
    <w:link w:val="Titre2"/>
    <w:uiPriority w:val="9"/>
    <w:rsid w:val="000C0E7E"/>
    <w:rPr>
      <w:b/>
      <w:bCs/>
      <w:sz w:val="20"/>
      <w:szCs w:val="20"/>
    </w:rPr>
  </w:style>
  <w:style w:type="character" w:styleId="Rfrencelgre">
    <w:name w:val="Subtle Reference"/>
    <w:uiPriority w:val="31"/>
    <w:qFormat/>
    <w:rsid w:val="00F81D08"/>
    <w:rPr>
      <w:i/>
      <w:iCs/>
      <w:sz w:val="18"/>
      <w:szCs w:val="18"/>
    </w:rPr>
  </w:style>
  <w:style w:type="character" w:styleId="Lienhypertexte">
    <w:name w:val="Hyperlink"/>
    <w:basedOn w:val="Policepardfaut"/>
    <w:uiPriority w:val="99"/>
    <w:unhideWhenUsed/>
    <w:rsid w:val="00BE3ECE"/>
    <w:rPr>
      <w:color w:val="285AFF" w:themeColor="hyperlink"/>
      <w:u w:val="single"/>
    </w:rPr>
  </w:style>
  <w:style w:type="character" w:styleId="Mentionnonrsolue">
    <w:name w:val="Unresolved Mention"/>
    <w:basedOn w:val="Policepardfaut"/>
    <w:uiPriority w:val="99"/>
    <w:semiHidden/>
    <w:unhideWhenUsed/>
    <w:rsid w:val="00BE3ECE"/>
    <w:rPr>
      <w:color w:val="605E5C"/>
      <w:shd w:val="clear" w:color="auto" w:fill="E1DFDD"/>
    </w:rPr>
  </w:style>
  <w:style w:type="character" w:styleId="Lienhypertextesuivivisit">
    <w:name w:val="FollowedHyperlink"/>
    <w:basedOn w:val="Policepardfaut"/>
    <w:uiPriority w:val="99"/>
    <w:semiHidden/>
    <w:unhideWhenUsed/>
    <w:rsid w:val="00D437D7"/>
    <w:rPr>
      <w:color w:val="2B506D" w:themeColor="followedHyperlink"/>
      <w:u w:val="single"/>
    </w:rPr>
  </w:style>
  <w:style w:type="character" w:customStyle="1" w:styleId="Titre3Car">
    <w:name w:val="Titre 3 Car"/>
    <w:basedOn w:val="Policepardfaut"/>
    <w:link w:val="Titre3"/>
    <w:uiPriority w:val="9"/>
    <w:rsid w:val="001C17C5"/>
    <w:rPr>
      <w:rFonts w:ascii="Gotham Book" w:hAnsi="Gotham Book"/>
      <w:color w:val="FF0000" w:themeColor="accent1"/>
      <w:sz w:val="32"/>
      <w:szCs w:val="28"/>
    </w:rPr>
  </w:style>
  <w:style w:type="table" w:styleId="Grilledutableau">
    <w:name w:val="Table Grid"/>
    <w:basedOn w:val="TableauNormal"/>
    <w:uiPriority w:val="39"/>
    <w:rsid w:val="0020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Policepardfaut"/>
    <w:rsid w:val="009828A5"/>
  </w:style>
  <w:style w:type="character" w:styleId="Marquedecommentaire">
    <w:name w:val="annotation reference"/>
    <w:basedOn w:val="Policepardfaut"/>
    <w:uiPriority w:val="99"/>
    <w:semiHidden/>
    <w:unhideWhenUsed/>
    <w:rsid w:val="00966106"/>
    <w:rPr>
      <w:sz w:val="16"/>
      <w:szCs w:val="16"/>
    </w:rPr>
  </w:style>
  <w:style w:type="paragraph" w:styleId="Commentaire">
    <w:name w:val="annotation text"/>
    <w:basedOn w:val="Normal"/>
    <w:link w:val="CommentaireCar"/>
    <w:uiPriority w:val="99"/>
    <w:unhideWhenUsed/>
    <w:rsid w:val="00966106"/>
  </w:style>
  <w:style w:type="character" w:customStyle="1" w:styleId="CommentaireCar">
    <w:name w:val="Commentaire Car"/>
    <w:basedOn w:val="Policepardfaut"/>
    <w:link w:val="Commentaire"/>
    <w:uiPriority w:val="99"/>
    <w:rsid w:val="00966106"/>
    <w:rPr>
      <w:sz w:val="20"/>
      <w:szCs w:val="20"/>
    </w:rPr>
  </w:style>
  <w:style w:type="paragraph" w:styleId="Objetducommentaire">
    <w:name w:val="annotation subject"/>
    <w:basedOn w:val="Commentaire"/>
    <w:next w:val="Commentaire"/>
    <w:link w:val="ObjetducommentaireCar"/>
    <w:uiPriority w:val="99"/>
    <w:semiHidden/>
    <w:unhideWhenUsed/>
    <w:rsid w:val="00966106"/>
    <w:rPr>
      <w:b/>
      <w:bCs/>
    </w:rPr>
  </w:style>
  <w:style w:type="character" w:customStyle="1" w:styleId="ObjetducommentaireCar">
    <w:name w:val="Objet du commentaire Car"/>
    <w:basedOn w:val="CommentaireCar"/>
    <w:link w:val="Objetducommentaire"/>
    <w:uiPriority w:val="99"/>
    <w:semiHidden/>
    <w:rsid w:val="00966106"/>
    <w:rPr>
      <w:b/>
      <w:bCs/>
      <w:sz w:val="20"/>
      <w:szCs w:val="20"/>
    </w:rPr>
  </w:style>
  <w:style w:type="paragraph" w:styleId="Notedebasdepage">
    <w:name w:val="footnote text"/>
    <w:basedOn w:val="Normal"/>
    <w:link w:val="NotedebasdepageCar"/>
    <w:uiPriority w:val="99"/>
    <w:semiHidden/>
    <w:unhideWhenUsed/>
    <w:rsid w:val="0021759F"/>
  </w:style>
  <w:style w:type="character" w:customStyle="1" w:styleId="NotedebasdepageCar">
    <w:name w:val="Note de bas de page Car"/>
    <w:basedOn w:val="Policepardfaut"/>
    <w:link w:val="Notedebasdepage"/>
    <w:uiPriority w:val="99"/>
    <w:semiHidden/>
    <w:rsid w:val="0021759F"/>
    <w:rPr>
      <w:sz w:val="20"/>
      <w:szCs w:val="20"/>
    </w:rPr>
  </w:style>
  <w:style w:type="character" w:styleId="Appelnotedebasdep">
    <w:name w:val="footnote reference"/>
    <w:basedOn w:val="Policepardfaut"/>
    <w:uiPriority w:val="99"/>
    <w:semiHidden/>
    <w:unhideWhenUsed/>
    <w:rsid w:val="0021759F"/>
    <w:rPr>
      <w:vertAlign w:val="superscript"/>
    </w:rPr>
  </w:style>
  <w:style w:type="paragraph" w:styleId="Rvision">
    <w:name w:val="Revision"/>
    <w:hidden/>
    <w:uiPriority w:val="99"/>
    <w:semiHidden/>
    <w:rsid w:val="003B0B44"/>
    <w:rPr>
      <w:sz w:val="20"/>
      <w:szCs w:val="20"/>
    </w:rPr>
  </w:style>
  <w:style w:type="paragraph" w:styleId="Corpsdetexte">
    <w:name w:val="Body Text"/>
    <w:basedOn w:val="Normal"/>
    <w:link w:val="CorpsdetexteCar"/>
    <w:uiPriority w:val="1"/>
    <w:qFormat/>
    <w:rsid w:val="004A30A8"/>
    <w:pPr>
      <w:widowControl w:val="0"/>
      <w:autoSpaceDE w:val="0"/>
      <w:autoSpaceDN w:val="0"/>
      <w:jc w:val="left"/>
    </w:pPr>
    <w:rPr>
      <w:rFonts w:ascii="Open Sans" w:eastAsia="Open Sans" w:hAnsi="Open Sans" w:cs="Open Sans"/>
      <w:sz w:val="28"/>
      <w:szCs w:val="28"/>
      <w:lang w:val="en-US"/>
    </w:rPr>
  </w:style>
  <w:style w:type="character" w:customStyle="1" w:styleId="CorpsdetexteCar">
    <w:name w:val="Corps de texte Car"/>
    <w:basedOn w:val="Policepardfaut"/>
    <w:link w:val="Corpsdetexte"/>
    <w:uiPriority w:val="1"/>
    <w:rsid w:val="004A30A8"/>
    <w:rPr>
      <w:rFonts w:ascii="Open Sans" w:eastAsia="Open Sans" w:hAnsi="Open Sans" w:cs="Open Sans"/>
      <w:sz w:val="28"/>
      <w:szCs w:val="28"/>
      <w:lang w:val="en-US"/>
    </w:rPr>
  </w:style>
  <w:style w:type="paragraph" w:styleId="NormalWeb">
    <w:name w:val="Normal (Web)"/>
    <w:basedOn w:val="Normal"/>
    <w:uiPriority w:val="99"/>
    <w:semiHidden/>
    <w:unhideWhenUsed/>
    <w:rsid w:val="004A30A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30A8"/>
    <w:rPr>
      <w:b/>
      <w:bCs/>
    </w:rPr>
  </w:style>
  <w:style w:type="character" w:styleId="Accentuation">
    <w:name w:val="Emphasis"/>
    <w:basedOn w:val="Policepardfaut"/>
    <w:uiPriority w:val="20"/>
    <w:qFormat/>
    <w:rsid w:val="004A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157">
      <w:bodyDiv w:val="1"/>
      <w:marLeft w:val="0"/>
      <w:marRight w:val="0"/>
      <w:marTop w:val="0"/>
      <w:marBottom w:val="0"/>
      <w:divBdr>
        <w:top w:val="none" w:sz="0" w:space="0" w:color="auto"/>
        <w:left w:val="none" w:sz="0" w:space="0" w:color="auto"/>
        <w:bottom w:val="none" w:sz="0" w:space="0" w:color="auto"/>
        <w:right w:val="none" w:sz="0" w:space="0" w:color="auto"/>
      </w:divBdr>
    </w:div>
    <w:div w:id="384528110">
      <w:bodyDiv w:val="1"/>
      <w:marLeft w:val="0"/>
      <w:marRight w:val="0"/>
      <w:marTop w:val="0"/>
      <w:marBottom w:val="0"/>
      <w:divBdr>
        <w:top w:val="none" w:sz="0" w:space="0" w:color="auto"/>
        <w:left w:val="none" w:sz="0" w:space="0" w:color="auto"/>
        <w:bottom w:val="none" w:sz="0" w:space="0" w:color="auto"/>
        <w:right w:val="none" w:sz="0" w:space="0" w:color="auto"/>
      </w:divBdr>
    </w:div>
    <w:div w:id="698359106">
      <w:bodyDiv w:val="1"/>
      <w:marLeft w:val="0"/>
      <w:marRight w:val="0"/>
      <w:marTop w:val="0"/>
      <w:marBottom w:val="0"/>
      <w:divBdr>
        <w:top w:val="none" w:sz="0" w:space="0" w:color="auto"/>
        <w:left w:val="none" w:sz="0" w:space="0" w:color="auto"/>
        <w:bottom w:val="none" w:sz="0" w:space="0" w:color="auto"/>
        <w:right w:val="none" w:sz="0" w:space="0" w:color="auto"/>
      </w:divBdr>
    </w:div>
    <w:div w:id="1262564264">
      <w:bodyDiv w:val="1"/>
      <w:marLeft w:val="0"/>
      <w:marRight w:val="0"/>
      <w:marTop w:val="0"/>
      <w:marBottom w:val="0"/>
      <w:divBdr>
        <w:top w:val="none" w:sz="0" w:space="0" w:color="auto"/>
        <w:left w:val="none" w:sz="0" w:space="0" w:color="auto"/>
        <w:bottom w:val="none" w:sz="0" w:space="0" w:color="auto"/>
        <w:right w:val="none" w:sz="0" w:space="0" w:color="auto"/>
      </w:divBdr>
    </w:div>
    <w:div w:id="1858424199">
      <w:bodyDiv w:val="1"/>
      <w:marLeft w:val="0"/>
      <w:marRight w:val="0"/>
      <w:marTop w:val="0"/>
      <w:marBottom w:val="0"/>
      <w:divBdr>
        <w:top w:val="none" w:sz="0" w:space="0" w:color="auto"/>
        <w:left w:val="none" w:sz="0" w:space="0" w:color="auto"/>
        <w:bottom w:val="none" w:sz="0" w:space="0" w:color="auto"/>
        <w:right w:val="none" w:sz="0" w:space="0" w:color="auto"/>
      </w:divBdr>
    </w:div>
    <w:div w:id="20820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facebook.com/TotalEnergiesFra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esse@totalenergies.com" TargetMode="External"/><Relationship Id="rId7" Type="http://schemas.openxmlformats.org/officeDocument/2006/relationships/settings" Target="settings.xml"/><Relationship Id="rId12" Type="http://schemas.openxmlformats.org/officeDocument/2006/relationships/hyperlink" Target="mailto:communication@nhv.be" TargetMode="External"/><Relationship Id="rId17" Type="http://schemas.openxmlformats.org/officeDocument/2006/relationships/image" Target="media/image4.png"/><Relationship Id="rId25" Type="http://schemas.openxmlformats.org/officeDocument/2006/relationships/hyperlink" Target="mailto:antoine.installe@totalenergies.com" TargetMode="External"/><Relationship Id="rId2" Type="http://schemas.openxmlformats.org/officeDocument/2006/relationships/customXml" Target="../customXml/item2.xml"/><Relationship Id="rId16" Type="http://schemas.openxmlformats.org/officeDocument/2006/relationships/hyperlink" Target="https://www.linkedin.com/company/totalenergies/" TargetMode="External"/><Relationship Id="rId20" Type="http://schemas.openxmlformats.org/officeDocument/2006/relationships/hyperlink" Target="https://www.instagram.com/totalener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om.claerbout@totalenergies.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ir@totalenergie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talEnergies" TargetMode="External"/><Relationship Id="rId22" Type="http://schemas.openxmlformats.org/officeDocument/2006/relationships/hyperlink" Target="https://twitter.com/TotalEnergiesP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284081\OneDrive%20-%20TotalEnergies\1.%20Dossiers%202020%20(Mars~)\A-%20Templates\Templates%20CP\Cobranding%20Affiliate\FR_CP_Filiale_Cobranding_Template%20.dotx" TargetMode="External"/></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74E136E8F6E458809EE8C4949CFFA" ma:contentTypeVersion="16" ma:contentTypeDescription="Crée un document." ma:contentTypeScope="" ma:versionID="d1ac4de39fac7bc30a5709b248e46b0b">
  <xsd:schema xmlns:xsd="http://www.w3.org/2001/XMLSchema" xmlns:xs="http://www.w3.org/2001/XMLSchema" xmlns:p="http://schemas.microsoft.com/office/2006/metadata/properties" xmlns:ns2="ced47b5e-4e4f-4baf-8203-bd3c429b6fe9" xmlns:ns3="45120f52-1de7-4a67-92c0-eda0e836c590" targetNamespace="http://schemas.microsoft.com/office/2006/metadata/properties" ma:root="true" ma:fieldsID="a269a82e8c53bc66129547c0469adfb7" ns2:_="" ns3:_="">
    <xsd:import namespace="ced47b5e-4e4f-4baf-8203-bd3c429b6fe9"/>
    <xsd:import namespace="45120f52-1de7-4a67-92c0-eda0e836c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47b5e-4e4f-4baf-8203-bd3c429b6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120f52-1de7-4a67-92c0-eda0e836c59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70efc65-6cf8-4178-8f78-2b01c0886ab6}" ma:internalName="TaxCatchAll" ma:showField="CatchAllData" ma:web="45120f52-1de7-4a67-92c0-eda0e836c5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3.xml><?xml version="1.0" encoding="utf-8"?>
<p:properties xmlns:p="http://schemas.microsoft.com/office/2006/metadata/properties" xmlns:xsi="http://www.w3.org/2001/XMLSchema-instance" xmlns:pc="http://schemas.microsoft.com/office/infopath/2007/PartnerControls">
  <documentManagement>
    <TaxCatchAll xmlns="45120f52-1de7-4a67-92c0-eda0e836c590" xsi:nil="true"/>
    <lcf76f155ced4ddcb4097134ff3c332f xmlns="ced47b5e-4e4f-4baf-8203-bd3c429b6f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6E94C-74DA-4255-BA0B-C6155981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47b5e-4e4f-4baf-8203-bd3c429b6fe9"/>
    <ds:schemaRef ds:uri="45120f52-1de7-4a67-92c0-eda0e836c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EE208-332E-CB4C-BD28-5A3BE4787015}">
  <ds:schemaRefs>
    <ds:schemaRef ds:uri="http://schemas.openxmlformats.org/officeDocument/2006/bibliography"/>
  </ds:schemaRefs>
</ds:datastoreItem>
</file>

<file path=customXml/itemProps3.xml><?xml version="1.0" encoding="utf-8"?>
<ds:datastoreItem xmlns:ds="http://schemas.openxmlformats.org/officeDocument/2006/customXml" ds:itemID="{2DAB0CDF-4F2C-4D07-9590-4BC93503D8E4}">
  <ds:schemaRefs>
    <ds:schemaRef ds:uri="http://schemas.microsoft.com/office/2006/metadata/properties"/>
    <ds:schemaRef ds:uri="http://schemas.microsoft.com/office/infopath/2007/PartnerControls"/>
    <ds:schemaRef ds:uri="45120f52-1de7-4a67-92c0-eda0e836c590"/>
    <ds:schemaRef ds:uri="ced47b5e-4e4f-4baf-8203-bd3c429b6fe9"/>
  </ds:schemaRefs>
</ds:datastoreItem>
</file>

<file path=customXml/itemProps4.xml><?xml version="1.0" encoding="utf-8"?>
<ds:datastoreItem xmlns:ds="http://schemas.openxmlformats.org/officeDocument/2006/customXml" ds:itemID="{3FD23E7D-8865-4971-BE5A-F2BD5D8DF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FR_CP_Filiale_Cobranding_Template .dotx</Template>
  <TotalTime>16</TotalTime>
  <Pages>3</Pages>
  <Words>1281</Words>
  <Characters>7047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GOUGEON</dc:creator>
  <cp:keywords/>
  <dc:description/>
  <cp:lastModifiedBy>Thomas BOUCHARD-GRUNBERG</cp:lastModifiedBy>
  <cp:revision>10</cp:revision>
  <dcterms:created xsi:type="dcterms:W3CDTF">2022-10-03T12:03:00Z</dcterms:created>
  <dcterms:modified xsi:type="dcterms:W3CDTF">2022-10-04T07:05:00Z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2021-11-09T10:58:10Z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94b45871-182d-49b1-b2ec-d332871c7869</vt:lpwstr>
  </property>
  <property fmtid="{D5CDD505-2E9C-101B-9397-08002B2CF9AE}" pid="8" name="MSIP_Label_a4593b6e-8994-43c5-a486-e951b5f02cec_ContentBits">
    <vt:lpwstr>0</vt:lpwstr>
  </property>
  <property fmtid="{D5CDD505-2E9C-101B-9397-08002B2CF9AE}" pid="9" name="ContentTypeId">
    <vt:lpwstr>0x01010083474E136E8F6E458809EE8C4949CFFA</vt:lpwstr>
  </property>
</Properties>
</file>